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江苏常熟农村商业银行股份有限公司</w:t>
      </w:r>
    </w:p>
    <w:p>
      <w:pPr>
        <w:tabs>
          <w:tab w:val="left" w:pos="8280"/>
        </w:tabs>
        <w:spacing w:line="480" w:lineRule="auto"/>
        <w:rPr>
          <w:rFonts w:hint="default" w:ascii="仿宋" w:hAnsi="仿宋" w:eastAsia="仿宋" w:cs="仿宋"/>
          <w:b/>
          <w:color w:val="000000"/>
          <w:sz w:val="28"/>
          <w:szCs w:val="28"/>
          <w:lang w:val="en-US"/>
        </w:rPr>
      </w:pPr>
      <w:r>
        <w:rPr>
          <w:rFonts w:hint="eastAsia" w:ascii="仿宋" w:hAnsi="仿宋" w:eastAsia="仿宋" w:cs="仿宋"/>
          <w:b/>
          <w:color w:val="000000"/>
          <w:sz w:val="28"/>
          <w:szCs w:val="28"/>
        </w:rPr>
        <w:t>招标编号：</w:t>
      </w:r>
      <w:r>
        <w:rPr>
          <w:rFonts w:hint="default" w:ascii="仿宋" w:hAnsi="仿宋" w:eastAsia="仿宋" w:cs="仿宋"/>
          <w:b/>
          <w:color w:val="000000"/>
          <w:sz w:val="28"/>
          <w:szCs w:val="28"/>
          <w:lang w:val="en-US"/>
        </w:rPr>
        <w:t>20220064</w:t>
      </w: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招标书</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ind w:firstLine="624"/>
        <w:jc w:val="center"/>
        <w:rPr>
          <w:rFonts w:hint="eastAsia" w:ascii="仿宋" w:hAnsi="仿宋" w:eastAsia="仿宋" w:cs="仿宋"/>
          <w:b/>
          <w:snapToGrid w:val="0"/>
          <w:color w:val="000000"/>
          <w:sz w:val="28"/>
          <w:szCs w:val="28"/>
          <w:highlight w:val="yellow"/>
          <w:lang w:eastAsia="zh-CN"/>
        </w:rPr>
      </w:pPr>
      <w:r>
        <w:rPr>
          <w:rFonts w:hint="eastAsia" w:ascii="仿宋" w:hAnsi="仿宋" w:eastAsia="仿宋" w:cs="仿宋"/>
          <w:b/>
          <w:snapToGrid w:val="0"/>
          <w:color w:val="000000"/>
          <w:sz w:val="30"/>
          <w:szCs w:val="30"/>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 w:hAnsi="仿宋" w:eastAsia="仿宋" w:cs="仿宋"/>
          <w:b w:val="0"/>
          <w:bCs/>
          <w:snapToGrid w:val="0"/>
          <w:color w:val="auto"/>
          <w:sz w:val="32"/>
          <w:szCs w:val="32"/>
          <w:highlight w:val="none"/>
          <w:u w:val="none"/>
        </w:rPr>
      </w:pPr>
      <w:r>
        <w:rPr>
          <w:rFonts w:hint="eastAsia" w:ascii="仿宋_GB2312" w:eastAsia="仿宋_GB2312"/>
          <w:b/>
          <w:sz w:val="30"/>
          <w:szCs w:val="30"/>
          <w:highlight w:val="none"/>
        </w:rPr>
        <w:t>二〇</w:t>
      </w:r>
      <w:r>
        <w:rPr>
          <w:rFonts w:hint="eastAsia" w:ascii="仿宋_GB2312" w:eastAsia="仿宋_GB2312"/>
          <w:b/>
          <w:sz w:val="30"/>
          <w:szCs w:val="30"/>
          <w:highlight w:val="none"/>
          <w:lang w:val="en-US" w:eastAsia="zh-CN"/>
        </w:rPr>
        <w:t>二二</w:t>
      </w:r>
      <w:r>
        <w:rPr>
          <w:rFonts w:hint="eastAsia" w:ascii="仿宋_GB2312" w:eastAsia="仿宋_GB2312"/>
          <w:b/>
          <w:sz w:val="30"/>
          <w:szCs w:val="30"/>
          <w:highlight w:val="none"/>
        </w:rPr>
        <w:t>年</w:t>
      </w:r>
      <w:r>
        <w:rPr>
          <w:rFonts w:hint="eastAsia" w:ascii="仿宋_GB2312" w:eastAsia="仿宋_GB2312"/>
          <w:b/>
          <w:sz w:val="30"/>
          <w:szCs w:val="30"/>
          <w:highlight w:val="none"/>
          <w:lang w:val="en-US" w:eastAsia="zh-CN"/>
        </w:rPr>
        <w:t>八</w:t>
      </w:r>
      <w:r>
        <w:rPr>
          <w:rFonts w:hint="eastAsia" w:ascii="仿宋_GB2312" w:eastAsia="仿宋_GB2312"/>
          <w:b/>
          <w:sz w:val="30"/>
          <w:szCs w:val="30"/>
          <w:highlight w:val="none"/>
        </w:rPr>
        <w:t>月</w:t>
      </w:r>
      <w:r>
        <w:rPr>
          <w:rFonts w:hint="eastAsia" w:ascii="仿宋_GB2312" w:eastAsia="仿宋_GB2312"/>
          <w:b/>
          <w:sz w:val="30"/>
          <w:szCs w:val="30"/>
          <w:highlight w:val="none"/>
          <w:lang w:val="en-US" w:eastAsia="zh-CN"/>
        </w:rPr>
        <w:t>九</w:t>
      </w:r>
      <w:r>
        <w:rPr>
          <w:rFonts w:hint="eastAsia" w:ascii="仿宋_GB2312" w:eastAsia="仿宋_GB2312"/>
          <w:b/>
          <w:sz w:val="30"/>
          <w:szCs w:val="30"/>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 w:hAnsi="仿宋" w:eastAsia="仿宋" w:cs="仿宋"/>
          <w:b/>
          <w:bCs/>
          <w:snapToGrid w:val="0"/>
          <w:color w:val="000000"/>
          <w:sz w:val="32"/>
        </w:rPr>
      </w:pPr>
      <w:r>
        <w:rPr>
          <w:rFonts w:hint="eastAsia" w:ascii="宋体" w:hAnsi="宋体"/>
          <w:b/>
          <w:bCs/>
          <w:snapToGrid w:val="0"/>
          <w:color w:val="000000"/>
          <w:sz w:val="32"/>
        </w:rPr>
        <w:br w:type="page"/>
      </w:r>
      <w:r>
        <w:rPr>
          <w:rFonts w:hint="eastAsia" w:ascii="仿宋" w:hAnsi="仿宋" w:eastAsia="仿宋" w:cs="仿宋"/>
          <w:b/>
          <w:bCs/>
          <w:snapToGrid w:val="0"/>
          <w:color w:val="000000"/>
          <w:sz w:val="32"/>
        </w:rPr>
        <w:t>申   明</w:t>
      </w:r>
    </w:p>
    <w:p>
      <w:pPr>
        <w:autoSpaceDE w:val="0"/>
        <w:autoSpaceDN w:val="0"/>
        <w:adjustRightInd w:val="0"/>
        <w:spacing w:line="560" w:lineRule="atLeast"/>
        <w:ind w:firstLine="624"/>
        <w:jc w:val="center"/>
        <w:rPr>
          <w:rFonts w:hint="eastAsia" w:ascii="仿宋" w:hAnsi="仿宋" w:eastAsia="仿宋" w:cs="仿宋"/>
          <w:b/>
          <w:bCs/>
          <w:snapToGrid w:val="0"/>
          <w:color w:val="000000"/>
          <w:sz w:val="32"/>
        </w:rPr>
      </w:pPr>
    </w:p>
    <w:p>
      <w:pPr>
        <w:wordWrap w:val="0"/>
        <w:autoSpaceDE w:val="0"/>
        <w:autoSpaceDN w:val="0"/>
        <w:adjustRightInd w:val="0"/>
        <w:spacing w:line="560" w:lineRule="atLeast"/>
        <w:ind w:firstLine="624"/>
        <w:rPr>
          <w:rFonts w:hint="eastAsia" w:ascii="仿宋" w:hAnsi="仿宋" w:eastAsia="仿宋" w:cs="仿宋"/>
          <w:snapToGrid w:val="0"/>
          <w:color w:val="000000"/>
          <w:sz w:val="28"/>
        </w:rPr>
      </w:pPr>
      <w:r>
        <w:rPr>
          <w:rFonts w:hint="eastAsia" w:ascii="仿宋" w:hAnsi="仿宋" w:eastAsia="仿宋" w:cs="仿宋"/>
          <w:snapToGrid w:val="0"/>
          <w:color w:val="000000"/>
          <w:sz w:val="28"/>
        </w:rPr>
        <w:t>本招标文件专用于江苏常熟农村商业银行股份有限公司本次“</w:t>
      </w:r>
      <w:r>
        <w:rPr>
          <w:rFonts w:hint="eastAsia" w:ascii="仿宋" w:hAnsi="仿宋" w:eastAsia="仿宋" w:cs="仿宋"/>
          <w:snapToGrid w:val="0"/>
          <w:color w:val="000000"/>
          <w:sz w:val="28"/>
          <w:szCs w:val="22"/>
          <w:highlight w:val="none"/>
          <w:u w:val="single"/>
          <w:lang w:eastAsia="zh-CN"/>
        </w:rPr>
        <w:t>智能告警平台建设项目</w:t>
      </w:r>
      <w:r>
        <w:rPr>
          <w:rFonts w:hint="eastAsia" w:ascii="仿宋" w:hAnsi="仿宋" w:eastAsia="仿宋" w:cs="仿宋"/>
          <w:snapToGrid w:val="0"/>
          <w:color w:val="000000"/>
          <w:sz w:val="28"/>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2"/>
        <w:spacing w:after="240"/>
        <w:jc w:val="center"/>
        <w:rPr>
          <w:rFonts w:hint="eastAsia" w:ascii="仿宋" w:hAnsi="仿宋" w:eastAsia="仿宋" w:cs="仿宋"/>
          <w:b/>
          <w:bCs/>
          <w:snapToGrid w:val="0"/>
          <w:color w:val="000000"/>
          <w:sz w:val="30"/>
          <w:szCs w:val="30"/>
        </w:rPr>
      </w:pPr>
      <w:r>
        <w:rPr>
          <w:rFonts w:hint="eastAsia" w:ascii="仿宋" w:hAnsi="仿宋" w:eastAsia="仿宋" w:cs="仿宋"/>
          <w:snapToGrid w:val="0"/>
          <w:color w:val="000000"/>
        </w:rPr>
        <w:br w:type="page"/>
      </w:r>
      <w:r>
        <w:rPr>
          <w:rFonts w:hint="eastAsia" w:ascii="仿宋" w:hAnsi="仿宋" w:eastAsia="仿宋" w:cs="仿宋"/>
          <w:b/>
          <w:snapToGrid w:val="0"/>
          <w:szCs w:val="28"/>
        </w:rPr>
        <w:t>第一部分</w:t>
      </w:r>
      <w:r>
        <w:rPr>
          <w:rFonts w:hint="eastAsia" w:ascii="仿宋" w:hAnsi="仿宋" w:eastAsia="仿宋" w:cs="仿宋"/>
          <w:b/>
          <w:snapToGrid w:val="0"/>
          <w:szCs w:val="28"/>
          <w:lang w:val="en-US" w:eastAsia="zh-CN"/>
        </w:rPr>
        <w:t xml:space="preserve">  </w:t>
      </w:r>
      <w:r>
        <w:rPr>
          <w:rFonts w:hint="eastAsia" w:ascii="仿宋" w:hAnsi="仿宋" w:eastAsia="仿宋" w:cs="仿宋"/>
          <w:b/>
          <w:snapToGrid w:val="0"/>
          <w:szCs w:val="28"/>
        </w:rPr>
        <w:t>投标</w:t>
      </w:r>
      <w:bookmarkStart w:id="0" w:name="投标邀请函"/>
      <w:bookmarkEnd w:id="0"/>
      <w:r>
        <w:rPr>
          <w:rFonts w:hint="eastAsia" w:ascii="仿宋" w:hAnsi="仿宋" w:eastAsia="仿宋" w:cs="仿宋"/>
          <w:b/>
          <w:snapToGrid w:val="0"/>
          <w:szCs w:val="28"/>
        </w:rPr>
        <w:t>函</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lang w:eastAsia="zh-CN"/>
        </w:rPr>
      </w:pPr>
      <w:r>
        <w:rPr>
          <w:rFonts w:hint="eastAsia" w:ascii="仿宋" w:hAnsi="仿宋" w:eastAsia="仿宋" w:cs="仿宋"/>
          <w:snapToGrid w:val="0"/>
          <w:color w:val="000000"/>
          <w:sz w:val="28"/>
          <w:szCs w:val="28"/>
        </w:rPr>
        <w:t>根据</w:t>
      </w:r>
      <w:r>
        <w:rPr>
          <w:rFonts w:hint="eastAsia" w:ascii="仿宋" w:hAnsi="仿宋" w:eastAsia="仿宋" w:cs="仿宋"/>
          <w:snapToGrid w:val="0"/>
          <w:color w:val="000000"/>
          <w:sz w:val="28"/>
        </w:rPr>
        <w:t>江苏常熟农村商业银行股份有限公司</w:t>
      </w:r>
      <w:r>
        <w:rPr>
          <w:rFonts w:hint="eastAsia" w:ascii="仿宋" w:hAnsi="仿宋" w:eastAsia="仿宋" w:cs="仿宋"/>
          <w:snapToGrid w:val="0"/>
          <w:color w:val="000000"/>
          <w:sz w:val="28"/>
          <w:szCs w:val="28"/>
        </w:rPr>
        <w:t>业务发展需求，现就</w:t>
      </w:r>
      <w:r>
        <w:rPr>
          <w:rFonts w:hint="eastAsia" w:ascii="仿宋" w:hAnsi="仿宋" w:eastAsia="仿宋" w:cs="仿宋"/>
          <w:snapToGrid w:val="0"/>
          <w:color w:val="000000"/>
          <w:sz w:val="28"/>
          <w:lang w:eastAsia="zh-CN"/>
        </w:rPr>
        <w:t>我行</w:t>
      </w:r>
      <w:r>
        <w:rPr>
          <w:rFonts w:hint="eastAsia" w:ascii="仿宋" w:hAnsi="仿宋" w:eastAsia="仿宋" w:cs="仿宋"/>
          <w:snapToGrid w:val="0"/>
          <w:color w:val="000000"/>
          <w:sz w:val="28"/>
        </w:rPr>
        <w:t>“</w:t>
      </w:r>
      <w:r>
        <w:rPr>
          <w:rFonts w:hint="eastAsia" w:ascii="仿宋" w:hAnsi="仿宋" w:eastAsia="仿宋" w:cs="仿宋"/>
          <w:snapToGrid w:val="0"/>
          <w:color w:val="000000"/>
          <w:sz w:val="28"/>
          <w:szCs w:val="28"/>
          <w:highlight w:val="none"/>
          <w:u w:val="single"/>
          <w:lang w:eastAsia="zh-CN"/>
        </w:rPr>
        <w:t>智能告警平台建设项目</w:t>
      </w:r>
      <w:r>
        <w:rPr>
          <w:rFonts w:hint="eastAsia" w:ascii="仿宋" w:hAnsi="仿宋" w:eastAsia="仿宋" w:cs="仿宋"/>
          <w:snapToGrid w:val="0"/>
          <w:color w:val="000000"/>
          <w:sz w:val="28"/>
          <w:szCs w:val="28"/>
        </w:rPr>
        <w:t>”进行招标</w:t>
      </w:r>
      <w:r>
        <w:rPr>
          <w:rFonts w:hint="eastAsia" w:ascii="仿宋" w:hAnsi="仿宋" w:eastAsia="仿宋" w:cs="仿宋"/>
          <w:snapToGrid w:val="0"/>
          <w:color w:val="000000"/>
          <w:sz w:val="28"/>
          <w:szCs w:val="28"/>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default" w:ascii="仿宋" w:hAnsi="仿宋" w:eastAsia="仿宋" w:cs="仿宋"/>
          <w:b/>
          <w:bCs/>
          <w:snapToGrid w:val="0"/>
          <w:color w:val="000000"/>
          <w:sz w:val="28"/>
          <w:szCs w:val="28"/>
          <w:highlight w:val="yellow"/>
          <w:lang w:val="en-US" w:eastAsia="zh-CN"/>
        </w:rPr>
      </w:pPr>
      <w:r>
        <w:rPr>
          <w:rFonts w:hint="eastAsia" w:ascii="仿宋" w:hAnsi="仿宋" w:eastAsia="仿宋" w:cs="仿宋"/>
          <w:b/>
          <w:bCs/>
          <w:snapToGrid w:val="0"/>
          <w:color w:val="000000"/>
          <w:sz w:val="28"/>
          <w:szCs w:val="28"/>
          <w:lang w:val="en-US" w:eastAsia="zh-CN"/>
        </w:rPr>
        <w:t>1.招标编号：</w:t>
      </w:r>
      <w:r>
        <w:rPr>
          <w:rFonts w:hint="default" w:ascii="仿宋" w:hAnsi="仿宋" w:eastAsia="仿宋" w:cs="仿宋"/>
          <w:b w:val="0"/>
          <w:bCs w:val="0"/>
          <w:snapToGrid w:val="0"/>
          <w:color w:val="000000"/>
          <w:sz w:val="28"/>
          <w:szCs w:val="28"/>
          <w:lang w:val="en-US" w:eastAsia="zh-CN"/>
        </w:rPr>
        <w:t>20220064</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snapToGrid w:val="0"/>
          <w:color w:val="000000"/>
          <w:sz w:val="28"/>
          <w:szCs w:val="28"/>
          <w:u w:val="single"/>
        </w:rPr>
      </w:pPr>
      <w:r>
        <w:rPr>
          <w:rFonts w:hint="eastAsia" w:ascii="仿宋" w:hAnsi="仿宋" w:eastAsia="仿宋" w:cs="仿宋"/>
          <w:b/>
          <w:bCs/>
          <w:snapToGrid w:val="0"/>
          <w:color w:val="000000"/>
          <w:sz w:val="28"/>
          <w:szCs w:val="28"/>
          <w:lang w:val="en-US" w:eastAsia="zh-CN"/>
        </w:rPr>
        <w:t>2.</w:t>
      </w:r>
      <w:r>
        <w:rPr>
          <w:rFonts w:hint="eastAsia" w:ascii="仿宋" w:hAnsi="仿宋" w:eastAsia="仿宋" w:cs="仿宋"/>
          <w:b/>
          <w:bCs/>
          <w:snapToGrid w:val="0"/>
          <w:color w:val="000000"/>
          <w:sz w:val="28"/>
          <w:szCs w:val="28"/>
        </w:rPr>
        <w:t>招标人：</w:t>
      </w:r>
      <w:r>
        <w:rPr>
          <w:rFonts w:hint="eastAsia" w:ascii="仿宋" w:hAnsi="仿宋" w:eastAsia="仿宋" w:cs="仿宋"/>
          <w:snapToGrid w:val="0"/>
          <w:color w:val="000000"/>
          <w:sz w:val="28"/>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default" w:ascii="仿宋" w:hAnsi="仿宋" w:eastAsia="仿宋" w:cs="仿宋"/>
          <w:snapToGrid w:val="0"/>
          <w:sz w:val="28"/>
          <w:szCs w:val="28"/>
          <w:lang w:val="en-US" w:eastAsia="zh-CN"/>
        </w:rPr>
      </w:pPr>
      <w:r>
        <w:rPr>
          <w:rFonts w:hint="eastAsia" w:ascii="仿宋" w:hAnsi="仿宋" w:eastAsia="仿宋" w:cs="仿宋"/>
          <w:b/>
          <w:bCs/>
          <w:snapToGrid w:val="0"/>
          <w:sz w:val="28"/>
          <w:szCs w:val="28"/>
          <w:lang w:val="en-US" w:eastAsia="zh-CN"/>
        </w:rPr>
        <w:t>3.</w:t>
      </w:r>
      <w:r>
        <w:rPr>
          <w:rFonts w:hint="eastAsia" w:ascii="仿宋" w:hAnsi="仿宋" w:eastAsia="仿宋" w:cs="仿宋"/>
          <w:b/>
          <w:bCs/>
          <w:snapToGrid w:val="0"/>
          <w:sz w:val="28"/>
          <w:szCs w:val="28"/>
        </w:rPr>
        <w:t>项目实施地点：</w:t>
      </w:r>
      <w:r>
        <w:rPr>
          <w:rFonts w:hint="eastAsia" w:ascii="仿宋" w:hAnsi="仿宋" w:eastAsia="仿宋" w:cs="仿宋"/>
          <w:b w:val="0"/>
          <w:bCs w:val="0"/>
          <w:snapToGrid w:val="0"/>
          <w:sz w:val="28"/>
          <w:szCs w:val="28"/>
          <w:highlight w:val="none"/>
          <w:lang w:eastAsia="zh-CN"/>
        </w:rPr>
        <w:t>常熟</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rPr>
      </w:pPr>
      <w:r>
        <w:rPr>
          <w:rFonts w:hint="eastAsia" w:ascii="仿宋" w:hAnsi="仿宋" w:eastAsia="仿宋" w:cs="仿宋"/>
          <w:b/>
          <w:bCs/>
          <w:snapToGrid w:val="0"/>
          <w:sz w:val="28"/>
          <w:szCs w:val="28"/>
          <w:lang w:val="en-US" w:eastAsia="zh-CN"/>
        </w:rPr>
        <w:t>4.</w:t>
      </w:r>
      <w:r>
        <w:rPr>
          <w:rFonts w:hint="eastAsia" w:ascii="仿宋" w:hAnsi="仿宋" w:eastAsia="仿宋" w:cs="仿宋"/>
          <w:b/>
          <w:bCs/>
          <w:snapToGrid w:val="0"/>
          <w:sz w:val="28"/>
          <w:szCs w:val="28"/>
        </w:rPr>
        <w:t>发放标书时间：</w:t>
      </w:r>
      <w:r>
        <w:rPr>
          <w:rFonts w:hint="eastAsia" w:ascii="仿宋" w:hAnsi="仿宋" w:eastAsia="仿宋" w:cs="仿宋"/>
          <w:b/>
          <w:bCs/>
          <w:snapToGrid w:val="0"/>
          <w:sz w:val="28"/>
          <w:szCs w:val="28"/>
          <w:lang w:val="en-US" w:eastAsia="zh-CN"/>
        </w:rPr>
        <w:t xml:space="preserve"> </w:t>
      </w:r>
      <w:r>
        <w:rPr>
          <w:rFonts w:hint="eastAsia" w:ascii="仿宋" w:hAnsi="仿宋" w:eastAsia="仿宋" w:cs="仿宋"/>
          <w:snapToGrid w:val="0"/>
          <w:sz w:val="28"/>
          <w:szCs w:val="28"/>
        </w:rPr>
        <w:t>北京时间 2022年08月</w:t>
      </w:r>
      <w:r>
        <w:rPr>
          <w:rFonts w:hint="default" w:ascii="仿宋" w:hAnsi="仿宋" w:eastAsia="仿宋" w:cs="仿宋"/>
          <w:snapToGrid w:val="0"/>
          <w:sz w:val="28"/>
          <w:szCs w:val="28"/>
          <w:lang w:val="en-US" w:eastAsia="zh-CN"/>
        </w:rPr>
        <w:t>12</w:t>
      </w:r>
      <w:r>
        <w:rPr>
          <w:rFonts w:hint="eastAsia" w:ascii="仿宋" w:hAnsi="仿宋" w:eastAsia="仿宋" w:cs="仿宋"/>
          <w:snapToGrid w:val="0"/>
          <w:sz w:val="28"/>
          <w:szCs w:val="28"/>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rPr>
      </w:pPr>
      <w:r>
        <w:rPr>
          <w:rFonts w:hint="eastAsia" w:ascii="仿宋" w:hAnsi="仿宋" w:eastAsia="仿宋" w:cs="仿宋"/>
          <w:b/>
          <w:bCs/>
          <w:snapToGrid w:val="0"/>
          <w:sz w:val="28"/>
          <w:szCs w:val="28"/>
          <w:lang w:val="en-US" w:eastAsia="zh-CN"/>
        </w:rPr>
        <w:t>5.</w:t>
      </w:r>
      <w:r>
        <w:rPr>
          <w:rFonts w:hint="eastAsia" w:ascii="仿宋" w:hAnsi="仿宋" w:eastAsia="仿宋" w:cs="仿宋"/>
          <w:b/>
          <w:bCs/>
          <w:snapToGrid w:val="0"/>
          <w:sz w:val="28"/>
          <w:szCs w:val="28"/>
        </w:rPr>
        <w:t>投标截止时间：</w:t>
      </w:r>
      <w:r>
        <w:rPr>
          <w:rFonts w:hint="eastAsia" w:ascii="仿宋" w:hAnsi="仿宋" w:eastAsia="仿宋" w:cs="仿宋"/>
          <w:b/>
          <w:bCs/>
          <w:snapToGrid w:val="0"/>
          <w:sz w:val="28"/>
          <w:szCs w:val="28"/>
          <w:lang w:val="en-US" w:eastAsia="zh-CN"/>
        </w:rPr>
        <w:t xml:space="preserve"> </w:t>
      </w:r>
      <w:r>
        <w:rPr>
          <w:rFonts w:hint="eastAsia" w:ascii="仿宋" w:hAnsi="仿宋" w:eastAsia="仿宋" w:cs="仿宋"/>
          <w:snapToGrid w:val="0"/>
          <w:sz w:val="28"/>
          <w:szCs w:val="28"/>
        </w:rPr>
        <w:t>北京时间 2022年08月</w:t>
      </w:r>
      <w:r>
        <w:rPr>
          <w:rFonts w:hint="default" w:ascii="仿宋" w:hAnsi="仿宋" w:eastAsia="仿宋" w:cs="仿宋"/>
          <w:snapToGrid w:val="0"/>
          <w:sz w:val="28"/>
          <w:szCs w:val="28"/>
          <w:lang w:val="en-US" w:eastAsia="zh-CN"/>
        </w:rPr>
        <w:t>31</w:t>
      </w:r>
      <w:r>
        <w:rPr>
          <w:rFonts w:hint="eastAsia" w:ascii="仿宋" w:hAnsi="仿宋" w:eastAsia="仿宋" w:cs="仿宋"/>
          <w:snapToGrid w:val="0"/>
          <w:sz w:val="28"/>
          <w:szCs w:val="28"/>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lang w:val="en-US" w:eastAsia="zh-CN"/>
        </w:rPr>
        <w:t>6.</w:t>
      </w:r>
      <w:r>
        <w:rPr>
          <w:rFonts w:hint="eastAsia" w:ascii="仿宋" w:hAnsi="仿宋" w:eastAsia="仿宋" w:cs="仿宋"/>
          <w:b/>
          <w:bCs/>
          <w:snapToGrid w:val="0"/>
          <w:color w:val="000000"/>
          <w:sz w:val="28"/>
          <w:szCs w:val="28"/>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 xml:space="preserve">联系人： </w:t>
      </w:r>
      <w:r>
        <w:rPr>
          <w:rFonts w:hint="eastAsia" w:ascii="仿宋" w:hAnsi="仿宋" w:eastAsia="仿宋" w:cs="仿宋"/>
          <w:kern w:val="0"/>
          <w:sz w:val="28"/>
          <w:szCs w:val="28"/>
          <w:highlight w:val="none"/>
          <w:lang w:eastAsia="zh-CN"/>
        </w:rPr>
        <w:t>甘雨</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电话号码：13625296962</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标书接收</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电话号码：0512-52739210</w:t>
      </w: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r>
        <w:rPr>
          <w:rFonts w:hint="eastAsia" w:ascii="仿宋" w:hAnsi="仿宋" w:eastAsia="仿宋" w:cs="仿宋"/>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val="en-US" w:eastAsia="zh-CN"/>
        </w:rPr>
      </w:pPr>
      <w:r>
        <w:rPr>
          <w:rFonts w:hint="eastAsia" w:ascii="仿宋" w:hAnsi="仿宋" w:eastAsia="仿宋" w:cs="仿宋"/>
          <w:i w:val="0"/>
          <w:iCs w:val="0"/>
          <w:snapToGrid w:val="0"/>
          <w:color w:val="000000"/>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r>
        <w:rPr>
          <w:rFonts w:hint="eastAsia" w:ascii="仿宋" w:hAnsi="仿宋" w:eastAsia="仿宋" w:cs="仿宋"/>
          <w:i w:val="0"/>
          <w:iCs w:val="0"/>
          <w:snapToGrid w:val="0"/>
          <w:color w:val="000000"/>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p>
    <w:p>
      <w:pPr>
        <w:pStyle w:val="2"/>
        <w:spacing w:after="240"/>
        <w:jc w:val="right"/>
        <w:rPr>
          <w:rFonts w:hint="eastAsia" w:ascii="仿宋" w:hAnsi="仿宋" w:eastAsia="仿宋" w:cs="仿宋"/>
          <w:snapToGrid w:val="0"/>
          <w:color w:val="000000"/>
          <w:sz w:val="28"/>
        </w:rPr>
      </w:pPr>
    </w:p>
    <w:p>
      <w:pPr>
        <w:pStyle w:val="2"/>
        <w:spacing w:after="240"/>
        <w:jc w:val="right"/>
        <w:rPr>
          <w:rFonts w:hint="eastAsia" w:ascii="仿宋" w:hAnsi="仿宋" w:eastAsia="仿宋" w:cs="仿宋"/>
          <w:snapToGrid w:val="0"/>
          <w:color w:val="000000"/>
          <w:sz w:val="28"/>
        </w:rPr>
      </w:pPr>
      <w:r>
        <w:rPr>
          <w:rFonts w:hint="eastAsia" w:ascii="仿宋" w:hAnsi="仿宋" w:eastAsia="仿宋" w:cs="仿宋"/>
          <w:snapToGrid w:val="0"/>
          <w:color w:val="000000"/>
          <w:sz w:val="28"/>
        </w:rPr>
        <w:t>江苏常熟农村商业银行股份有限公司</w:t>
      </w:r>
    </w:p>
    <w:p>
      <w:pPr>
        <w:pStyle w:val="2"/>
        <w:spacing w:after="240"/>
        <w:jc w:val="center"/>
        <w:rPr>
          <w:rFonts w:hint="eastAsia" w:ascii="仿宋" w:hAnsi="仿宋" w:eastAsia="仿宋" w:cs="仿宋"/>
          <w:b/>
          <w:snapToGrid w:val="0"/>
          <w:szCs w:val="28"/>
        </w:rPr>
      </w:pPr>
      <w:r>
        <w:rPr>
          <w:rFonts w:hint="eastAsia" w:ascii="宋体" w:hAnsi="宋体" w:eastAsia="宋体"/>
          <w:snapToGrid w:val="0"/>
          <w:color w:val="000000"/>
        </w:rPr>
        <w:br w:type="page"/>
      </w:r>
      <w:r>
        <w:rPr>
          <w:rFonts w:hint="eastAsia" w:ascii="仿宋" w:hAnsi="仿宋" w:eastAsia="仿宋" w:cs="仿宋"/>
          <w:b/>
          <w:snapToGrid w:val="0"/>
          <w:szCs w:val="28"/>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适用范围</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本招标文件仅适用于江苏常熟农村商业银行股份有限公司（以下简称“常熟农商银行”）“</w:t>
      </w:r>
      <w:r>
        <w:rPr>
          <w:rFonts w:hint="eastAsia" w:ascii="仿宋" w:hAnsi="仿宋" w:eastAsia="仿宋" w:cs="仿宋"/>
          <w:snapToGrid w:val="0"/>
          <w:color w:val="000000"/>
          <w:sz w:val="28"/>
          <w:szCs w:val="28"/>
          <w:highlight w:val="none"/>
          <w:lang w:eastAsia="zh-CN"/>
        </w:rPr>
        <w:t>智能告警平台建设项目</w:t>
      </w:r>
      <w:r>
        <w:rPr>
          <w:rFonts w:hint="eastAsia" w:ascii="仿宋" w:hAnsi="仿宋" w:eastAsia="仿宋" w:cs="仿宋"/>
          <w:snapToGrid w:val="0"/>
          <w:color w:val="000000"/>
          <w:sz w:val="28"/>
          <w:szCs w:val="28"/>
        </w:rPr>
        <w:t>”而进行的公开招标。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定义</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投标人必须为具有独立企业法人资格，具有合法名称、组织机构、固定的办公场所，注册资本要求不少于</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highlight w:val="yellow"/>
          <w:u w:val="single"/>
        </w:rPr>
        <w:t>1000</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rPr>
        <w:t>万元人民币（或等值外币），注册时间不少于</w:t>
      </w:r>
      <w:r>
        <w:rPr>
          <w:rFonts w:hint="eastAsia" w:ascii="仿宋" w:hAnsi="仿宋" w:eastAsia="仿宋" w:cs="仿宋"/>
          <w:snapToGrid w:val="0"/>
          <w:color w:val="000000"/>
          <w:sz w:val="28"/>
          <w:szCs w:val="28"/>
          <w:highlight w:val="yellow"/>
          <w:u w:val="single"/>
        </w:rPr>
        <w:t xml:space="preserve"> 3 </w:t>
      </w:r>
      <w:r>
        <w:rPr>
          <w:rFonts w:hint="eastAsia" w:ascii="仿宋" w:hAnsi="仿宋" w:eastAsia="仿宋" w:cs="仿宋"/>
          <w:snapToGrid w:val="0"/>
          <w:color w:val="000000"/>
          <w:sz w:val="28"/>
          <w:szCs w:val="28"/>
        </w:rPr>
        <w:t>年，且具有良好的技术力量、商业信誉和售后服务体系的设备（系统）分销商、厂商。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投标人必须具有良好的经济和技术实力，能够按时提交招标人要求的交付件，并能够及时地提供招标人要求的优质服务。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投标人近3年来签署过类似合同、承担过类似项目及成功案例，案例数不少于</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highlight w:val="yellow"/>
          <w:u w:val="single"/>
        </w:rPr>
        <w:t>3</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rPr>
        <w:t>个。投标人应具备相应实施资格。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投标费用</w:t>
      </w:r>
    </w:p>
    <w:p>
      <w:pPr>
        <w:numPr>
          <w:ilvl w:val="-1"/>
          <w:numId w:val="0"/>
        </w:numPr>
        <w:autoSpaceDE w:val="0"/>
        <w:autoSpaceDN w:val="0"/>
        <w:adjustRightInd w:val="0"/>
        <w:spacing w:line="560" w:lineRule="atLeast"/>
        <w:ind w:left="0" w:firstLine="624"/>
        <w:jc w:val="left"/>
        <w:rPr>
          <w:rFonts w:hint="default"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招标文件的解释及咨询</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要求</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b/>
          <w:bCs/>
          <w:snapToGrid w:val="0"/>
          <w:color w:val="000000"/>
          <w:sz w:val="28"/>
          <w:szCs w:val="28"/>
        </w:rPr>
        <w:t>必须按照本招标文件要求制作</w:t>
      </w:r>
      <w:r>
        <w:rPr>
          <w:rFonts w:hint="eastAsia" w:ascii="仿宋" w:hAnsi="仿宋" w:eastAsia="仿宋" w:cs="仿宋"/>
          <w:snapToGrid w:val="0"/>
          <w:color w:val="000000"/>
          <w:sz w:val="28"/>
          <w:szCs w:val="28"/>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1</w:t>
      </w:r>
      <w:r>
        <w:rPr>
          <w:rFonts w:hint="eastAsia" w:ascii="仿宋" w:hAnsi="仿宋" w:eastAsia="仿宋" w:cs="仿宋"/>
          <w:b/>
          <w:bCs/>
          <w:snapToGrid w:val="0"/>
          <w:sz w:val="24"/>
          <w:szCs w:val="24"/>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rPr>
      </w:pPr>
      <w:r>
        <w:rPr>
          <w:rFonts w:hint="eastAsia" w:ascii="仿宋" w:hAnsi="仿宋" w:eastAsia="仿宋" w:cs="仿宋"/>
          <w:snapToGrid w:val="0"/>
          <w:sz w:val="24"/>
          <w:szCs w:val="24"/>
          <w:lang w:eastAsia="zh-CN"/>
        </w:rPr>
        <w:t>说明：</w:t>
      </w:r>
      <w:r>
        <w:rPr>
          <w:rFonts w:hint="eastAsia" w:ascii="仿宋" w:hAnsi="仿宋" w:eastAsia="仿宋" w:cs="仿宋"/>
          <w:snapToGrid w:val="0"/>
          <w:sz w:val="24"/>
          <w:szCs w:val="24"/>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2：</w:t>
      </w:r>
      <w:r>
        <w:rPr>
          <w:rFonts w:hint="eastAsia" w:ascii="仿宋" w:hAnsi="仿宋" w:eastAsia="仿宋" w:cs="仿宋"/>
          <w:b/>
          <w:bCs/>
          <w:snapToGrid w:val="0"/>
          <w:sz w:val="24"/>
          <w:szCs w:val="24"/>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3：</w:t>
      </w:r>
      <w:r>
        <w:rPr>
          <w:rFonts w:hint="eastAsia" w:ascii="仿宋" w:hAnsi="仿宋" w:eastAsia="仿宋" w:cs="仿宋"/>
          <w:b/>
          <w:bCs/>
          <w:snapToGrid w:val="0"/>
          <w:sz w:val="24"/>
          <w:szCs w:val="24"/>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4：</w:t>
      </w:r>
      <w:r>
        <w:rPr>
          <w:rFonts w:hint="eastAsia" w:ascii="仿宋" w:hAnsi="仿宋" w:eastAsia="仿宋" w:cs="仿宋"/>
          <w:b/>
          <w:bCs/>
          <w:snapToGrid w:val="0"/>
          <w:sz w:val="24"/>
          <w:szCs w:val="24"/>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yellow"/>
          <w:lang w:eastAsia="zh-CN"/>
        </w:rPr>
      </w:pPr>
      <w:r>
        <w:rPr>
          <w:rFonts w:hint="eastAsia" w:ascii="仿宋" w:hAnsi="仿宋" w:eastAsia="仿宋" w:cs="仿宋"/>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val="en-US"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说明：投标方必须提供实际参与项目实施的成员列表及其</w:t>
      </w:r>
      <w:r>
        <w:rPr>
          <w:rFonts w:hint="eastAsia" w:ascii="仿宋" w:hAnsi="仿宋" w:eastAsia="仿宋" w:cs="仿宋"/>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w:t>
      </w:r>
      <w:r>
        <w:rPr>
          <w:rFonts w:hint="eastAsia" w:ascii="仿宋" w:hAnsi="仿宋" w:eastAsia="仿宋" w:cs="仿宋"/>
          <w:snapToGrid w:val="0"/>
          <w:sz w:val="24"/>
          <w:szCs w:val="24"/>
          <w:lang w:eastAsia="zh-CN"/>
        </w:rPr>
        <w:t>投标人提供营业执照复印件等相关资质证明文件并</w:t>
      </w:r>
      <w:r>
        <w:rPr>
          <w:rFonts w:hint="eastAsia" w:ascii="仿宋" w:hAnsi="仿宋" w:eastAsia="仿宋" w:cs="仿宋"/>
          <w:snapToGrid w:val="0"/>
          <w:sz w:val="24"/>
          <w:szCs w:val="24"/>
          <w:highlight w:val="none"/>
          <w:lang w:val="en-US" w:eastAsia="zh-CN"/>
        </w:rPr>
        <w:t>按表格要求提供至少近三年的实施案例情况，并附证明文件，加盖公章。</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投标文件的密封和递交</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每一密封信封上注明“于开标前不准启封”的字样。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投标文件的修改和撤回</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auto"/>
          <w:sz w:val="28"/>
          <w:szCs w:val="28"/>
        </w:rPr>
      </w:pPr>
      <w:r>
        <w:rPr>
          <w:rFonts w:hint="eastAsia" w:ascii="仿宋_GB2312" w:hAnsi="仿宋_GB2312" w:eastAsia="仿宋_GB2312" w:cs="仿宋_GB2312"/>
          <w:snapToGrid w:val="0"/>
          <w:color w:val="auto"/>
          <w:sz w:val="28"/>
          <w:szCs w:val="28"/>
        </w:rPr>
        <w:t>人民币</w:t>
      </w:r>
      <w:r>
        <w:rPr>
          <w:rFonts w:hint="eastAsia" w:ascii="仿宋_GB2312" w:hAnsi="仿宋_GB2312" w:eastAsia="仿宋_GB2312" w:cs="仿宋_GB2312"/>
          <w:snapToGrid w:val="0"/>
          <w:color w:val="auto"/>
          <w:sz w:val="28"/>
          <w:szCs w:val="28"/>
          <w:u w:val="single"/>
          <w:lang w:val="en-US" w:eastAsia="zh-CN"/>
        </w:rPr>
        <w:t>贰万陆仟</w:t>
      </w:r>
      <w:r>
        <w:rPr>
          <w:rFonts w:hint="eastAsia" w:ascii="仿宋_GB2312" w:hAnsi="仿宋_GB2312" w:eastAsia="仿宋_GB2312" w:cs="仿宋_GB2312"/>
          <w:snapToGrid w:val="0"/>
          <w:color w:val="auto"/>
          <w:sz w:val="28"/>
          <w:szCs w:val="28"/>
          <w:u w:val="single"/>
        </w:rPr>
        <w:t>元</w:t>
      </w:r>
      <w:r>
        <w:rPr>
          <w:rFonts w:hint="eastAsia" w:ascii="仿宋_GB2312" w:hAnsi="仿宋_GB2312" w:eastAsia="仿宋_GB2312" w:cs="仿宋_GB2312"/>
          <w:snapToGrid w:val="0"/>
          <w:color w:val="auto"/>
          <w:sz w:val="28"/>
          <w:szCs w:val="28"/>
          <w:u w:val="single"/>
          <w:lang w:val="en-US" w:eastAsia="zh-CN"/>
        </w:rPr>
        <w:t>整</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（2）中标人的违法行为导致中标被依法确认无效的;</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（3）投标人在投标有效期内撤销或修改其投标文件;</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（4）其它违法违规行为，经查情况属实的。</w:t>
      </w:r>
    </w:p>
    <w:p>
      <w:pPr>
        <w:numPr>
          <w:ilvl w:val="0"/>
          <w:numId w:val="0"/>
        </w:numPr>
        <w:autoSpaceDE w:val="0"/>
        <w:autoSpaceDN w:val="0"/>
        <w:adjustRightInd w:val="0"/>
        <w:ind w:firstLine="560" w:firstLineChars="200"/>
        <w:jc w:val="left"/>
        <w:rPr>
          <w:rFonts w:hint="default"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7.</w:t>
      </w:r>
      <w:r>
        <w:rPr>
          <w:rFonts w:hint="default" w:ascii="仿宋_GB2312" w:hAnsi="仿宋_GB2312" w:eastAsia="仿宋_GB2312" w:cs="仿宋_GB2312"/>
          <w:snapToGrid w:val="0"/>
          <w:color w:val="000000"/>
          <w:sz w:val="28"/>
          <w:szCs w:val="28"/>
          <w:lang w:val="en-US" w:eastAsia="zh-CN"/>
        </w:rPr>
        <w:t>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8.中标人收到中标通知书，并提交履约保证金后，</w:t>
      </w:r>
      <w:r>
        <w:rPr>
          <w:rFonts w:hint="default" w:ascii="仿宋_GB2312" w:hAnsi="仿宋_GB2312" w:eastAsia="仿宋_GB2312" w:cs="仿宋_GB2312"/>
          <w:snapToGrid w:val="0"/>
          <w:color w:val="000000"/>
          <w:sz w:val="28"/>
          <w:szCs w:val="28"/>
          <w:lang w:val="en-US" w:eastAsia="zh-CN"/>
        </w:rPr>
        <w:t>可办理投标保证金的无息退还</w:t>
      </w:r>
      <w:r>
        <w:rPr>
          <w:rFonts w:hint="eastAsia" w:ascii="仿宋_GB2312" w:hAnsi="仿宋_GB2312" w:eastAsia="仿宋_GB2312" w:cs="仿宋_GB2312"/>
          <w:snapToGrid w:val="0"/>
          <w:color w:val="000000"/>
          <w:sz w:val="28"/>
          <w:szCs w:val="28"/>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highlight w:val="none"/>
        </w:rPr>
        <w:t>所有投标人均应派代表到场参加开标，</w:t>
      </w:r>
      <w:r>
        <w:rPr>
          <w:rFonts w:hint="eastAsia" w:ascii="仿宋" w:hAnsi="仿宋" w:eastAsia="仿宋" w:cs="仿宋"/>
          <w:snapToGrid w:val="0"/>
          <w:color w:val="000000"/>
          <w:sz w:val="28"/>
          <w:szCs w:val="28"/>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开标过程由投标人进行时间不超过30分钟的讲标，必须由此项目的实施</w:t>
      </w:r>
      <w:r>
        <w:rPr>
          <w:rFonts w:hint="eastAsia" w:ascii="仿宋" w:hAnsi="仿宋" w:eastAsia="仿宋" w:cs="仿宋"/>
          <w:snapToGrid w:val="0"/>
          <w:color w:val="000000"/>
          <w:sz w:val="28"/>
          <w:szCs w:val="28"/>
          <w:highlight w:val="none"/>
        </w:rPr>
        <w:t>项目经理讲标</w:t>
      </w:r>
      <w:r>
        <w:rPr>
          <w:rFonts w:hint="eastAsia" w:ascii="仿宋" w:hAnsi="仿宋" w:eastAsia="仿宋" w:cs="仿宋"/>
          <w:snapToGrid w:val="0"/>
          <w:color w:val="000000"/>
          <w:sz w:val="28"/>
          <w:szCs w:val="28"/>
          <w:highlight w:val="none"/>
          <w:lang w:eastAsia="zh-CN"/>
        </w:rPr>
        <w:t>，不得随意变更</w:t>
      </w:r>
      <w:r>
        <w:rPr>
          <w:rFonts w:hint="eastAsia" w:ascii="仿宋" w:hAnsi="仿宋" w:eastAsia="仿宋" w:cs="仿宋"/>
          <w:snapToGrid w:val="0"/>
          <w:color w:val="000000"/>
          <w:sz w:val="28"/>
          <w:szCs w:val="28"/>
        </w:rPr>
        <w:t>。</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招标人根据</w:t>
      </w:r>
      <w:r>
        <w:rPr>
          <w:rFonts w:hint="eastAsia" w:ascii="仿宋" w:hAnsi="仿宋" w:eastAsia="仿宋" w:cs="仿宋"/>
          <w:snapToGrid w:val="0"/>
          <w:color w:val="000000"/>
          <w:sz w:val="28"/>
          <w:szCs w:val="28"/>
          <w:lang w:eastAsia="zh-CN"/>
        </w:rPr>
        <w:t>包括但不限于以下</w:t>
      </w:r>
      <w:r>
        <w:rPr>
          <w:rFonts w:hint="eastAsia" w:ascii="仿宋" w:hAnsi="仿宋" w:eastAsia="仿宋" w:cs="仿宋"/>
          <w:snapToGrid w:val="0"/>
          <w:color w:val="000000"/>
          <w:sz w:val="28"/>
          <w:szCs w:val="28"/>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投标人技术实力（项目经理及项目成员、售后服务能力及项目人员配置</w:t>
      </w:r>
      <w:r>
        <w:rPr>
          <w:rFonts w:hint="eastAsia" w:ascii="仿宋" w:hAnsi="仿宋" w:eastAsia="仿宋" w:cs="仿宋"/>
          <w:snapToGrid w:val="0"/>
          <w:color w:val="000000"/>
          <w:sz w:val="28"/>
          <w:szCs w:val="28"/>
          <w:lang w:eastAsia="zh-CN"/>
        </w:rPr>
        <w:t>、</w:t>
      </w:r>
      <w:r>
        <w:rPr>
          <w:rFonts w:hint="eastAsia" w:ascii="仿宋" w:hAnsi="仿宋" w:eastAsia="仿宋" w:cs="仿宋"/>
          <w:snapToGrid w:val="0"/>
          <w:color w:val="000000"/>
          <w:sz w:val="28"/>
          <w:szCs w:val="28"/>
          <w:lang w:val="en-US" w:eastAsia="zh-CN"/>
        </w:rPr>
        <w:t>POC情况等</w:t>
      </w: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8"/>
          <w:szCs w:val="28"/>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投标文件的审查</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开标后，招标人将组织审查投标文件是否完整，是否有计算错误，文件签署</w:t>
      </w:r>
      <w:r>
        <w:rPr>
          <w:rFonts w:hint="eastAsia" w:ascii="仿宋" w:hAnsi="仿宋" w:eastAsia="仿宋" w:cs="仿宋"/>
          <w:snapToGrid w:val="0"/>
          <w:color w:val="000000"/>
          <w:sz w:val="28"/>
          <w:szCs w:val="28"/>
          <w:lang w:eastAsia="zh-CN"/>
        </w:rPr>
        <w:t>是否符合要求</w:t>
      </w:r>
      <w:r>
        <w:rPr>
          <w:rFonts w:hint="eastAsia" w:ascii="仿宋" w:hAnsi="仿宋" w:eastAsia="仿宋" w:cs="仿宋"/>
          <w:snapToGrid w:val="0"/>
          <w:color w:val="000000"/>
          <w:sz w:val="28"/>
          <w:szCs w:val="28"/>
        </w:rPr>
        <w:t>。</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评标工作</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招标人不承诺报价最低者为中标者。</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中标</w:t>
      </w:r>
      <w:r>
        <w:rPr>
          <w:rFonts w:hint="eastAsia" w:ascii="仿宋" w:hAnsi="仿宋" w:eastAsia="仿宋" w:cs="仿宋"/>
          <w:b/>
          <w:bCs/>
          <w:snapToGrid w:val="0"/>
          <w:color w:val="000000"/>
          <w:sz w:val="28"/>
          <w:szCs w:val="28"/>
          <w:lang w:eastAsia="zh-CN"/>
        </w:rPr>
        <w:t>、</w:t>
      </w:r>
      <w:r>
        <w:rPr>
          <w:rFonts w:hint="eastAsia" w:ascii="仿宋" w:hAnsi="仿宋" w:eastAsia="仿宋" w:cs="仿宋"/>
          <w:b/>
          <w:bCs/>
          <w:snapToGrid w:val="0"/>
          <w:color w:val="000000"/>
          <w:sz w:val="28"/>
          <w:szCs w:val="28"/>
          <w:lang w:val="en-US" w:eastAsia="zh-CN"/>
        </w:rPr>
        <w:t>履约保证金</w:t>
      </w:r>
      <w:r>
        <w:rPr>
          <w:rFonts w:hint="eastAsia" w:ascii="仿宋" w:hAnsi="仿宋" w:eastAsia="仿宋" w:cs="仿宋"/>
          <w:b/>
          <w:bCs/>
          <w:snapToGrid w:val="0"/>
          <w:color w:val="000000"/>
          <w:sz w:val="28"/>
          <w:szCs w:val="28"/>
        </w:rPr>
        <w:t>与签署合同</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（一）定标原则</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w:t>
      </w:r>
      <w:r>
        <w:rPr>
          <w:rFonts w:hint="eastAsia" w:ascii="仿宋_GB2312" w:hAnsi="仿宋_GB2312" w:eastAsia="仿宋_GB2312" w:cs="仿宋_GB2312"/>
          <w:color w:val="000000"/>
          <w:sz w:val="28"/>
          <w:szCs w:val="28"/>
        </w:rPr>
        <w:t>招标人不承诺向投标方披露招标过程中任何细节，包括中标或落标原因。</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（二）中标通知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yellow"/>
        </w:rPr>
      </w:pPr>
      <w:r>
        <w:rPr>
          <w:rFonts w:hint="eastAsia" w:ascii="仿宋_GB2312" w:hAnsi="仿宋_GB2312" w:eastAsia="仿宋_GB2312" w:cs="仿宋_GB2312"/>
          <w:snapToGrid w:val="0"/>
          <w:color w:val="000000"/>
          <w:sz w:val="28"/>
          <w:szCs w:val="28"/>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3.中标通知将作为招标人与中标人签订合同的依据之一。</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（三）</w:t>
      </w:r>
      <w:r>
        <w:rPr>
          <w:rFonts w:hint="eastAsia" w:ascii="仿宋_GB2312" w:hAnsi="仿宋_GB2312" w:eastAsia="仿宋_GB2312" w:cs="仿宋_GB2312"/>
          <w:b w:val="0"/>
          <w:color w:val="000000"/>
          <w:sz w:val="28"/>
          <w:szCs w:val="28"/>
          <w:lang w:val="en-US" w:eastAsia="zh-CN"/>
        </w:rPr>
        <w:t>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1.中标人应当自收到中标通知书之日起30天内，提交合同价10%的履约保证金，并一次性足额存入履约保证金专用账户。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2、履约保证金应当采用银行转账或电汇等缴纳方式，不直接收取现金、个人存折。</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3.履约保证金</w:t>
      </w:r>
      <w:r>
        <w:rPr>
          <w:rFonts w:hint="eastAsia" w:ascii="仿宋_GB2312" w:hAnsi="仿宋_GB2312" w:eastAsia="仿宋_GB2312" w:cs="仿宋_GB2312"/>
          <w:snapToGrid w:val="0"/>
          <w:color w:val="000000"/>
          <w:sz w:val="28"/>
          <w:szCs w:val="28"/>
          <w:lang w:val="en-US" w:eastAsia="zh-CN"/>
        </w:rPr>
        <w:t>在</w:t>
      </w:r>
      <w:r>
        <w:rPr>
          <w:rFonts w:hint="eastAsia" w:ascii="仿宋_GB2312" w:hAnsi="仿宋_GB2312" w:eastAsia="仿宋_GB2312" w:cs="仿宋_GB2312"/>
          <w:snapToGrid w:val="0"/>
          <w:color w:val="000000"/>
          <w:sz w:val="28"/>
          <w:szCs w:val="28"/>
        </w:rPr>
        <w:t>使用电汇、网上银行转帐的形式提交</w:t>
      </w:r>
      <w:r>
        <w:rPr>
          <w:rFonts w:hint="eastAsia" w:ascii="仿宋_GB2312" w:hAnsi="仿宋_GB2312" w:eastAsia="仿宋_GB2312" w:cs="仿宋_GB2312"/>
          <w:snapToGrid w:val="0"/>
          <w:color w:val="000000"/>
          <w:sz w:val="28"/>
          <w:szCs w:val="28"/>
          <w:lang w:val="en-US" w:eastAsia="zh-CN"/>
        </w:rPr>
        <w:t>时应</w:t>
      </w:r>
      <w:r>
        <w:rPr>
          <w:rFonts w:hint="eastAsia" w:ascii="仿宋_GB2312" w:hAnsi="仿宋_GB2312" w:eastAsia="仿宋_GB2312" w:cs="仿宋_GB2312"/>
          <w:snapToGrid w:val="0"/>
          <w:color w:val="000000"/>
          <w:sz w:val="28"/>
          <w:szCs w:val="28"/>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账号：101290001022913940</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w:t>
      </w:r>
      <w:r>
        <w:rPr>
          <w:rFonts w:hint="eastAsia" w:ascii="仿宋_GB2312" w:hAnsi="仿宋_GB2312" w:eastAsia="仿宋_GB2312" w:cs="仿宋_GB2312"/>
          <w:b w:val="0"/>
          <w:snapToGrid w:val="0"/>
          <w:color w:val="000000"/>
          <w:sz w:val="28"/>
          <w:szCs w:val="28"/>
          <w:lang w:val="en-US" w:eastAsia="zh-CN"/>
        </w:rPr>
        <w:t>四</w:t>
      </w:r>
      <w:r>
        <w:rPr>
          <w:rFonts w:hint="eastAsia" w:ascii="仿宋_GB2312" w:hAnsi="仿宋_GB2312" w:eastAsia="仿宋_GB2312" w:cs="仿宋_GB2312"/>
          <w:b w:val="0"/>
          <w:snapToGrid w:val="0"/>
          <w:color w:val="000000"/>
          <w:sz w:val="28"/>
          <w:szCs w:val="28"/>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招标文件、中标方的投标文件及其澄清文件等，均为签订合同的依据。</w:t>
      </w: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pStyle w:val="2"/>
        <w:spacing w:after="240"/>
        <w:jc w:val="center"/>
        <w:rPr>
          <w:rFonts w:ascii="宋体" w:hAnsi="宋体"/>
          <w:b/>
          <w:sz w:val="28"/>
          <w:szCs w:val="28"/>
        </w:rPr>
      </w:pPr>
      <w:r>
        <w:rPr>
          <w:rFonts w:hint="eastAsia" w:ascii="宋体" w:hAnsi="宋体" w:eastAsia="宋体"/>
          <w:b/>
          <w:snapToGrid w:val="0"/>
          <w:szCs w:val="28"/>
        </w:rPr>
        <w:t xml:space="preserve">第三部分  </w:t>
      </w:r>
      <w:r>
        <w:rPr>
          <w:rFonts w:ascii="Times New Roman"/>
          <w:b/>
          <w:snapToGrid w:val="0"/>
          <w:szCs w:val="28"/>
        </w:rPr>
        <w:t>投标文件格式</w:t>
      </w:r>
    </w:p>
    <w:p>
      <w:pPr>
        <w:pStyle w:val="3"/>
        <w:spacing w:after="0" w:line="240" w:lineRule="auto"/>
        <w:jc w:val="left"/>
        <w:rPr>
          <w:rFonts w:hint="eastAsia" w:ascii="仿宋" w:hAnsi="仿宋" w:eastAsia="仿宋" w:cs="仿宋"/>
          <w:b w:val="0"/>
          <w:snapToGrid w:val="0"/>
          <w:sz w:val="28"/>
          <w:szCs w:val="28"/>
          <w:shd w:val="pct10" w:color="auto" w:fill="FFFFFF"/>
        </w:rPr>
      </w:pPr>
      <w:bookmarkStart w:id="1" w:name="_附件1：《投标书》"/>
      <w:bookmarkEnd w:id="1"/>
      <w:r>
        <w:rPr>
          <w:rFonts w:hint="eastAsia" w:ascii="仿宋" w:hAnsi="仿宋" w:eastAsia="仿宋" w:cs="仿宋"/>
          <w:b w:val="0"/>
          <w:snapToGrid w:val="0"/>
          <w:color w:val="000000"/>
          <w:sz w:val="28"/>
          <w:szCs w:val="28"/>
        </w:rPr>
        <w:t>附件1：投标书</w:t>
      </w:r>
    </w:p>
    <w:p>
      <w:pPr>
        <w:pStyle w:val="20"/>
        <w:adjustRightInd w:val="0"/>
        <w:jc w:val="center"/>
        <w:rPr>
          <w:rFonts w:hint="eastAsia" w:ascii="仿宋" w:hAnsi="仿宋" w:eastAsia="仿宋" w:cs="仿宋"/>
          <w:b/>
          <w:bCs/>
          <w:snapToGrid w:val="0"/>
          <w:color w:val="000000"/>
          <w:sz w:val="32"/>
          <w:szCs w:val="32"/>
        </w:rPr>
      </w:pPr>
      <w:r>
        <w:rPr>
          <w:rFonts w:hint="eastAsia" w:ascii="仿宋" w:hAnsi="仿宋" w:eastAsia="仿宋" w:cs="仿宋"/>
          <w:b/>
          <w:bCs/>
          <w:snapToGrid w:val="0"/>
          <w:color w:val="000000"/>
          <w:sz w:val="32"/>
          <w:szCs w:val="32"/>
        </w:rPr>
        <w:t>投  标  书</w:t>
      </w:r>
    </w:p>
    <w:p>
      <w:pPr>
        <w:pStyle w:val="20"/>
        <w:adjustRightInd w:val="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致：</w:t>
      </w:r>
      <w:r>
        <w:rPr>
          <w:rFonts w:hint="eastAsia" w:ascii="仿宋" w:hAnsi="仿宋" w:eastAsia="仿宋" w:cs="仿宋"/>
          <w:snapToGrid w:val="0"/>
          <w:color w:val="000000"/>
          <w:sz w:val="28"/>
        </w:rPr>
        <w:t>江苏常熟农村商业银行股份有限公司</w:t>
      </w:r>
    </w:p>
    <w:p>
      <w:p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根据贵方</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val="en-US" w:eastAsia="zh-CN"/>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eastAsia="zh-CN"/>
        </w:rPr>
        <w:t>项目</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color w:val="000000"/>
          <w:sz w:val="28"/>
          <w:szCs w:val="28"/>
        </w:rPr>
        <w:t>招标书，投标人</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rPr>
        <w:t>（投标人名称）提供相关文件并做出以下承诺：</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招标文件规定的全部文件正本一份，副本二份，电子文档一份。</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投标人同意如下：</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投标人承诺项目讲标人为本项目实施的项目经理，投标人应承诺项目实施过程中项目经理不做变更。如发生项目经理变更，招标人有权扣减项目中标金额的</w:t>
      </w:r>
      <w:r>
        <w:rPr>
          <w:rFonts w:hint="eastAsia" w:ascii="仿宋" w:hAnsi="仿宋" w:eastAsia="仿宋" w:cs="仿宋"/>
          <w:snapToGrid w:val="0"/>
          <w:color w:val="000000"/>
          <w:sz w:val="28"/>
          <w:szCs w:val="28"/>
          <w:highlight w:val="yellow"/>
          <w:u w:val="single"/>
        </w:rPr>
        <w:t>10</w:t>
      </w:r>
      <w:r>
        <w:rPr>
          <w:rFonts w:hint="eastAsia" w:ascii="仿宋" w:hAnsi="仿宋" w:eastAsia="仿宋" w:cs="仿宋"/>
          <w:snapToGrid w:val="0"/>
          <w:color w:val="000000"/>
          <w:sz w:val="28"/>
          <w:szCs w:val="28"/>
          <w:u w:val="single"/>
        </w:rPr>
        <w:t>%</w:t>
      </w:r>
      <w:r>
        <w:rPr>
          <w:rFonts w:hint="eastAsia" w:ascii="仿宋" w:hAnsi="仿宋" w:eastAsia="仿宋" w:cs="仿宋"/>
          <w:snapToGrid w:val="0"/>
          <w:color w:val="000000"/>
          <w:sz w:val="28"/>
          <w:szCs w:val="28"/>
        </w:rPr>
        <w:t>，</w:t>
      </w:r>
      <w:r>
        <w:rPr>
          <w:rFonts w:hint="eastAsia" w:ascii="仿宋" w:hAnsi="仿宋" w:eastAsia="仿宋" w:cs="仿宋"/>
          <w:sz w:val="28"/>
          <w:szCs w:val="28"/>
        </w:rPr>
        <w:t>及有权解除中标通知书或项目合同。</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投标人承诺按项目投标书中项目组人员配制进场实施项目，如人员匹配率低于</w:t>
      </w:r>
      <w:r>
        <w:rPr>
          <w:rFonts w:hint="eastAsia" w:ascii="仿宋" w:hAnsi="仿宋" w:eastAsia="仿宋" w:cs="仿宋"/>
          <w:snapToGrid w:val="0"/>
          <w:color w:val="000000"/>
          <w:sz w:val="28"/>
          <w:szCs w:val="28"/>
          <w:highlight w:val="yellow"/>
          <w:u w:val="single"/>
        </w:rPr>
        <w:t>90%</w:t>
      </w:r>
      <w:r>
        <w:rPr>
          <w:rFonts w:hint="eastAsia" w:ascii="仿宋" w:hAnsi="仿宋" w:eastAsia="仿宋" w:cs="仿宋"/>
          <w:snapToGrid w:val="0"/>
          <w:color w:val="000000"/>
          <w:sz w:val="28"/>
          <w:szCs w:val="28"/>
        </w:rPr>
        <w:t>，招标人有权扣减项目中标金额的</w:t>
      </w:r>
      <w:r>
        <w:rPr>
          <w:rFonts w:hint="eastAsia" w:ascii="仿宋" w:hAnsi="仿宋" w:eastAsia="仿宋" w:cs="仿宋"/>
          <w:snapToGrid w:val="0"/>
          <w:color w:val="000000"/>
          <w:sz w:val="28"/>
          <w:szCs w:val="28"/>
          <w:highlight w:val="yellow"/>
          <w:u w:val="single"/>
        </w:rPr>
        <w:t>10</w:t>
      </w:r>
      <w:r>
        <w:rPr>
          <w:rFonts w:hint="eastAsia" w:ascii="仿宋" w:hAnsi="仿宋" w:eastAsia="仿宋" w:cs="仿宋"/>
          <w:snapToGrid w:val="0"/>
          <w:color w:val="000000"/>
          <w:sz w:val="28"/>
          <w:szCs w:val="28"/>
          <w:u w:val="single"/>
        </w:rPr>
        <w:t>%</w:t>
      </w:r>
      <w:r>
        <w:rPr>
          <w:rFonts w:hint="eastAsia" w:ascii="仿宋" w:hAnsi="仿宋" w:eastAsia="仿宋" w:cs="仿宋"/>
          <w:snapToGrid w:val="0"/>
          <w:color w:val="000000"/>
          <w:sz w:val="28"/>
          <w:szCs w:val="28"/>
        </w:rPr>
        <w:t>，</w:t>
      </w:r>
      <w:r>
        <w:rPr>
          <w:rFonts w:hint="eastAsia" w:ascii="仿宋" w:hAnsi="仿宋" w:eastAsia="仿宋" w:cs="仿宋"/>
          <w:sz w:val="28"/>
          <w:szCs w:val="28"/>
        </w:rPr>
        <w:t>及有权解除中标通知书或项目合同。</w:t>
      </w:r>
      <w:r>
        <w:rPr>
          <w:rFonts w:hint="eastAsia" w:ascii="仿宋" w:hAnsi="仿宋" w:eastAsia="仿宋" w:cs="仿宋"/>
          <w:snapToGrid w:val="0"/>
          <w:color w:val="000000"/>
          <w:sz w:val="28"/>
          <w:szCs w:val="28"/>
        </w:rPr>
        <w:t>（人员匹配率为：投标书匹配人员数量/投标书项目人员总数）</w:t>
      </w:r>
    </w:p>
    <w:p>
      <w:pPr>
        <w:numPr>
          <w:ilvl w:val="0"/>
          <w:numId w:val="20"/>
        </w:numPr>
        <w:adjustRightInd w:val="0"/>
        <w:ind w:left="567" w:leftChars="270" w:firstLine="273" w:firstLineChars="0"/>
        <w:rPr>
          <w:rFonts w:hint="eastAsia" w:ascii="仿宋" w:hAnsi="仿宋" w:eastAsia="仿宋" w:cs="仿宋"/>
          <w:b w:val="0"/>
          <w:bCs w:val="0"/>
          <w:snapToGrid w:val="0"/>
          <w:color w:val="000000"/>
          <w:sz w:val="28"/>
          <w:szCs w:val="28"/>
          <w:highlight w:val="none"/>
        </w:rPr>
      </w:pPr>
      <w:r>
        <w:rPr>
          <w:rFonts w:hint="eastAsia" w:ascii="仿宋" w:hAnsi="仿宋" w:eastAsia="仿宋" w:cs="仿宋"/>
          <w:b w:val="0"/>
          <w:bCs w:val="0"/>
          <w:snapToGrid w:val="0"/>
          <w:color w:val="000000"/>
          <w:sz w:val="28"/>
          <w:szCs w:val="28"/>
          <w:highlight w:val="none"/>
          <w:lang w:eastAsia="zh-CN"/>
        </w:rPr>
        <w:t>投标人</w:t>
      </w:r>
      <w:r>
        <w:rPr>
          <w:rFonts w:hint="eastAsia" w:ascii="仿宋" w:hAnsi="仿宋" w:eastAsia="仿宋" w:cs="仿宋"/>
          <w:b w:val="0"/>
          <w:bCs w:val="0"/>
          <w:snapToGrid w:val="0"/>
          <w:color w:val="000000"/>
          <w:sz w:val="28"/>
          <w:szCs w:val="28"/>
          <w:highlight w:val="none"/>
        </w:rPr>
        <w:t>承诺</w:t>
      </w:r>
      <w:r>
        <w:rPr>
          <w:rFonts w:hint="eastAsia" w:ascii="仿宋" w:hAnsi="仿宋" w:eastAsia="仿宋" w:cs="仿宋"/>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 w:hAnsi="仿宋" w:eastAsia="仿宋" w:cs="仿宋"/>
          <w:b w:val="0"/>
          <w:bCs w:val="0"/>
          <w:snapToGrid w:val="0"/>
          <w:color w:val="000000"/>
          <w:sz w:val="28"/>
          <w:szCs w:val="28"/>
          <w:highlight w:val="none"/>
          <w:lang w:val="en-US" w:eastAsia="zh-CN"/>
        </w:rPr>
        <w:t>(技术标准规范在项目进场实施时提供，概要内容见附件《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》)并对附件《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》进行盖章确认。</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四、</w:t>
      </w:r>
      <w:r>
        <w:rPr>
          <w:rFonts w:hint="eastAsia" w:ascii="仿宋_GB2312" w:hAnsi="仿宋_GB2312" w:eastAsia="仿宋_GB2312" w:cs="仿宋_GB2312"/>
          <w:snapToGrid w:val="0"/>
          <w:color w:val="000000"/>
          <w:sz w:val="28"/>
          <w:szCs w:val="28"/>
        </w:rPr>
        <w:t>投标方</w:t>
      </w:r>
      <w:r>
        <w:rPr>
          <w:rFonts w:hint="eastAsia" w:ascii="仿宋_GB2312" w:hAnsi="仿宋_GB2312" w:eastAsia="仿宋_GB2312" w:cs="仿宋_GB2312"/>
          <w:color w:val="000000"/>
          <w:sz w:val="28"/>
        </w:rPr>
        <w:t>愿意按招标文件的规定交纳人民币</w:t>
      </w:r>
      <w:r>
        <w:rPr>
          <w:rFonts w:hint="eastAsia" w:ascii="仿宋_GB2312" w:hAnsi="仿宋_GB2312" w:eastAsia="仿宋_GB2312" w:cs="仿宋_GB2312"/>
          <w:color w:val="000000"/>
          <w:sz w:val="28"/>
          <w:lang w:val="en-US" w:eastAsia="zh-CN"/>
        </w:rPr>
        <w:t>(大写)</w:t>
      </w:r>
      <w:r>
        <w:rPr>
          <w:rFonts w:hint="eastAsia" w:ascii="仿宋_GB2312" w:hAnsi="仿宋_GB2312" w:eastAsia="仿宋_GB2312" w:cs="仿宋_GB2312"/>
          <w:color w:val="000000"/>
          <w:sz w:val="28"/>
          <w:u w:val="none"/>
          <w:lang w:val="en-US" w:eastAsia="zh-CN"/>
        </w:rPr>
        <w:t xml:space="preserve">   </w:t>
      </w:r>
      <w:r>
        <w:rPr>
          <w:rFonts w:hint="eastAsia" w:ascii="仿宋_GB2312" w:hAnsi="仿宋_GB2312" w:eastAsia="仿宋_GB2312" w:cs="仿宋_GB2312"/>
          <w:color w:val="000000"/>
          <w:sz w:val="28"/>
          <w:highlight w:val="none"/>
          <w:u w:val="single"/>
          <w:lang w:val="en-US" w:eastAsia="zh-CN"/>
        </w:rPr>
        <w:t xml:space="preserve">     元整</w:t>
      </w:r>
      <w:r>
        <w:rPr>
          <w:rFonts w:hint="eastAsia" w:ascii="仿宋_GB2312" w:hAnsi="仿宋_GB2312" w:eastAsia="仿宋_GB2312" w:cs="仿宋_GB2312"/>
          <w:color w:val="000000"/>
          <w:sz w:val="28"/>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五、</w:t>
      </w:r>
      <w:r>
        <w:rPr>
          <w:rFonts w:hint="eastAsia" w:ascii="仿宋_GB2312" w:hAnsi="仿宋_GB2312" w:eastAsia="仿宋_GB2312" w:cs="仿宋_GB2312"/>
          <w:color w:val="000000"/>
          <w:sz w:val="28"/>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 w:hAnsi="仿宋" w:eastAsia="仿宋" w:cs="仿宋"/>
          <w:snapToGrid w:val="0"/>
          <w:color w:val="000000"/>
          <w:sz w:val="28"/>
          <w:szCs w:val="28"/>
        </w:rPr>
      </w:pP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与本投标有关的一切正式信函使用以下地址：</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地址：</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邮编：</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电话：</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传真：</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投标人法定代表人姓名、职务（印刷体）：</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投标人名称：</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单位公章：</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法定代表人或授权代理人签字：</w:t>
      </w:r>
      <w:r>
        <w:rPr>
          <w:rFonts w:hint="eastAsia" w:ascii="仿宋" w:hAnsi="仿宋" w:eastAsia="仿宋" w:cs="仿宋"/>
          <w:snapToGrid w:val="0"/>
          <w:sz w:val="28"/>
          <w:szCs w:val="28"/>
          <w:highlight w:val="none"/>
          <w:u w:val="single"/>
        </w:rPr>
        <w:t xml:space="preserve">                    </w:t>
      </w:r>
    </w:p>
    <w:p>
      <w:pPr>
        <w:autoSpaceDE w:val="0"/>
        <w:autoSpaceDN w:val="0"/>
        <w:adjustRightInd w:val="0"/>
        <w:ind w:firstLine="624"/>
        <w:jc w:val="left"/>
        <w:rPr>
          <w:rFonts w:hint="eastAsia" w:ascii="仿宋" w:hAnsi="仿宋" w:eastAsia="仿宋" w:cs="仿宋"/>
          <w:snapToGrid w:val="0"/>
          <w:sz w:val="28"/>
          <w:szCs w:val="28"/>
          <w:highlight w:val="none"/>
        </w:rPr>
      </w:pPr>
      <w:r>
        <w:rPr>
          <w:rFonts w:hint="eastAsia" w:ascii="仿宋" w:hAnsi="仿宋" w:eastAsia="仿宋" w:cs="仿宋"/>
          <w:snapToGrid w:val="0"/>
          <w:color w:val="000000"/>
          <w:sz w:val="28"/>
          <w:szCs w:val="28"/>
          <w:highlight w:val="none"/>
        </w:rPr>
        <w:t>日期：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p>
    <w:p>
      <w:pPr>
        <w:pStyle w:val="3"/>
        <w:spacing w:after="0" w:line="240" w:lineRule="auto"/>
        <w:jc w:val="left"/>
        <w:rPr>
          <w:rFonts w:hint="eastAsia" w:ascii="仿宋" w:hAnsi="仿宋" w:eastAsia="仿宋" w:cs="仿宋"/>
          <w:b w:val="0"/>
          <w:snapToGrid w:val="0"/>
          <w:color w:val="000000"/>
          <w:sz w:val="28"/>
          <w:szCs w:val="28"/>
        </w:rPr>
      </w:pPr>
      <w:r>
        <w:rPr>
          <w:rFonts w:hint="eastAsia" w:ascii="宋体" w:hAnsi="宋体" w:eastAsia="宋体"/>
          <w:b w:val="0"/>
          <w:snapToGrid w:val="0"/>
          <w:color w:val="000000"/>
          <w:sz w:val="28"/>
          <w:szCs w:val="28"/>
        </w:rPr>
        <w:br w:type="page"/>
      </w:r>
      <w:r>
        <w:rPr>
          <w:rFonts w:hint="eastAsia" w:ascii="仿宋" w:hAnsi="仿宋" w:eastAsia="仿宋" w:cs="仿宋"/>
          <w:b w:val="0"/>
          <w:snapToGrid w:val="0"/>
          <w:color w:val="000000"/>
          <w:sz w:val="28"/>
          <w:szCs w:val="28"/>
        </w:rPr>
        <w:t>附件2：法人代表授权委托书</w:t>
      </w:r>
    </w:p>
    <w:p/>
    <w:p>
      <w:pPr>
        <w:jc w:val="center"/>
        <w:rPr>
          <w:rFonts w:hint="eastAsia" w:ascii="仿宋" w:hAnsi="仿宋" w:eastAsia="仿宋" w:cs="仿宋"/>
          <w:sz w:val="32"/>
          <w:szCs w:val="32"/>
        </w:rPr>
      </w:pPr>
      <w:r>
        <w:rPr>
          <w:rFonts w:hint="eastAsia" w:ascii="仿宋" w:hAnsi="仿宋" w:eastAsia="仿宋" w:cs="仿宋"/>
          <w:b/>
          <w:snapToGrid w:val="0"/>
          <w:color w:val="000000"/>
          <w:sz w:val="32"/>
          <w:szCs w:val="32"/>
        </w:rPr>
        <w:t>法人代表授权委托书</w:t>
      </w: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highlight w:val="none"/>
        </w:rPr>
        <w:t>（投标人公司名称）（投标人公司注册地点）</w:t>
      </w:r>
      <w:r>
        <w:rPr>
          <w:rFonts w:hint="eastAsia" w:ascii="仿宋" w:hAnsi="仿宋" w:eastAsia="仿宋" w:cs="仿宋"/>
          <w:bCs/>
          <w:snapToGrid w:val="0"/>
          <w:sz w:val="28"/>
          <w:szCs w:val="28"/>
        </w:rPr>
        <w:t>法定代表人</w:t>
      </w:r>
      <w:r>
        <w:rPr>
          <w:rFonts w:hint="eastAsia" w:ascii="仿宋" w:hAnsi="仿宋" w:eastAsia="仿宋" w:cs="仿宋"/>
          <w:bCs/>
          <w:snapToGrid w:val="0"/>
          <w:sz w:val="28"/>
          <w:szCs w:val="28"/>
          <w:highlight w:val="none"/>
        </w:rPr>
        <w:t>（姓名）经合法授权，特代表本公司（以下称“投标人”）任命：（姓名）为正式的合法代理人，并授权该代理人在有关的投标工作中，</w:t>
      </w:r>
      <w:r>
        <w:rPr>
          <w:rFonts w:hint="eastAsia" w:ascii="仿宋" w:hAnsi="仿宋" w:eastAsia="仿宋" w:cs="仿宋"/>
          <w:bCs/>
          <w:snapToGrid w:val="0"/>
          <w:sz w:val="28"/>
          <w:szCs w:val="28"/>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特签字如下，以资证明。</w:t>
      </w: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 w:hAnsi="仿宋" w:eastAsia="仿宋" w:cs="仿宋"/>
          <w:b w:val="0"/>
          <w:snapToGrid w:val="0"/>
          <w:color w:val="000000"/>
          <w:sz w:val="28"/>
          <w:szCs w:val="28"/>
        </w:rPr>
      </w:pPr>
      <w:r>
        <w:rPr>
          <w:rFonts w:ascii="宋体" w:hAnsi="宋体" w:cs="宋体"/>
          <w:spacing w:val="2"/>
          <w:kern w:val="0"/>
          <w:position w:val="-1"/>
          <w:sz w:val="28"/>
          <w:szCs w:val="28"/>
          <w:lang w:val="zh-CN"/>
        </w:rPr>
        <w:br w:type="page"/>
      </w:r>
      <w:r>
        <w:rPr>
          <w:rFonts w:hint="eastAsia" w:ascii="仿宋" w:hAnsi="仿宋" w:eastAsia="仿宋" w:cs="仿宋"/>
          <w:b w:val="0"/>
          <w:snapToGrid w:val="0"/>
          <w:color w:val="000000"/>
          <w:sz w:val="28"/>
          <w:szCs w:val="28"/>
        </w:rPr>
        <w:t>附件</w:t>
      </w:r>
      <w:r>
        <w:rPr>
          <w:rFonts w:hint="eastAsia" w:ascii="仿宋" w:hAnsi="仿宋" w:eastAsia="仿宋" w:cs="仿宋"/>
          <w:b w:val="0"/>
          <w:snapToGrid w:val="0"/>
          <w:color w:val="000000"/>
          <w:sz w:val="28"/>
          <w:szCs w:val="28"/>
          <w:lang w:eastAsia="zh-CN"/>
        </w:rPr>
        <w:t>３</w:t>
      </w:r>
      <w:r>
        <w:rPr>
          <w:rFonts w:hint="eastAsia" w:ascii="仿宋" w:hAnsi="仿宋" w:eastAsia="仿宋" w:cs="仿宋"/>
          <w:b w:val="0"/>
          <w:snapToGrid w:val="0"/>
          <w:color w:val="000000"/>
          <w:sz w:val="28"/>
          <w:szCs w:val="28"/>
          <w:lang w:val="en-US" w:eastAsia="zh-CN"/>
        </w:rPr>
        <w:t>：</w:t>
      </w:r>
      <w:r>
        <w:rPr>
          <w:rFonts w:hint="eastAsia" w:ascii="仿宋" w:hAnsi="仿宋" w:eastAsia="仿宋" w:cs="仿宋"/>
          <w:b w:val="0"/>
          <w:bCs/>
          <w:snapToGrid w:val="0"/>
          <w:color w:val="000000"/>
          <w:kern w:val="2"/>
          <w:sz w:val="28"/>
          <w:szCs w:val="28"/>
          <w:lang w:val="en-US" w:eastAsia="zh-CN" w:bidi="ar-SA"/>
        </w:rPr>
        <w:t>投标价格一览表【单独密封】</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投标价格</w:t>
      </w:r>
      <w:r>
        <w:rPr>
          <w:rFonts w:hint="eastAsia" w:ascii="仿宋" w:hAnsi="仿宋" w:eastAsia="仿宋" w:cs="仿宋"/>
          <w:b w:val="0"/>
          <w:bCs/>
          <w:snapToGrid w:val="0"/>
          <w:color w:val="000000"/>
          <w:kern w:val="2"/>
          <w:sz w:val="28"/>
          <w:szCs w:val="28"/>
          <w:lang w:val="en-US" w:eastAsia="zh-CN" w:bidi="ar-SA"/>
        </w:rPr>
        <w:t>一览·表</w:t>
      </w:r>
      <w:r>
        <w:rPr>
          <w:rFonts w:hint="eastAsia" w:ascii="仿宋" w:hAnsi="仿宋" w:eastAsia="仿宋" w:cs="仿宋"/>
          <w:bCs/>
          <w:snapToGrid w:val="0"/>
          <w:sz w:val="28"/>
          <w:szCs w:val="28"/>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项目总报价</w:t>
      </w:r>
      <w:r>
        <w:rPr>
          <w:rFonts w:hint="eastAsia" w:ascii="仿宋" w:hAnsi="仿宋" w:eastAsia="仿宋" w:cs="仿宋"/>
          <w:bCs/>
          <w:snapToGrid w:val="0"/>
          <w:sz w:val="28"/>
          <w:szCs w:val="28"/>
          <w:lang w:eastAsia="zh-CN"/>
        </w:rPr>
        <w:t>（人民币）</w:t>
      </w:r>
      <w:r>
        <w:rPr>
          <w:rFonts w:hint="eastAsia" w:ascii="仿宋" w:hAnsi="仿宋" w:eastAsia="仿宋" w:cs="仿宋"/>
          <w:bCs/>
          <w:snapToGrid w:val="0"/>
          <w:sz w:val="28"/>
          <w:szCs w:val="28"/>
        </w:rPr>
        <w:t>：</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lang w:eastAsia="zh-CN"/>
        </w:rPr>
        <w:t>元</w:t>
      </w:r>
      <w:r>
        <w:rPr>
          <w:rFonts w:hint="eastAsia" w:ascii="仿宋" w:hAnsi="仿宋" w:eastAsia="仿宋" w:cs="仿宋"/>
          <w:bCs/>
          <w:snapToGrid w:val="0"/>
          <w:sz w:val="28"/>
          <w:szCs w:val="28"/>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项目计划进场时间：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预计项目上线时间：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项目计划总工期：</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人月单价:</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报价明细：</w:t>
      </w:r>
    </w:p>
    <w:tbl>
      <w:tblPr>
        <w:tblStyle w:val="32"/>
        <w:tblW w:w="8618" w:type="dxa"/>
        <w:jc w:val="center"/>
        <w:tblInd w:w="-351"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rPr>
            </w:pPr>
            <w:r>
              <w:rPr>
                <w:rFonts w:hint="eastAsia" w:ascii="华文仿宋" w:hAnsi="华文仿宋" w:eastAsia="华文仿宋" w:cs="华文仿宋"/>
                <w:b/>
                <w:bCs/>
                <w:sz w:val="21"/>
                <w:szCs w:val="21"/>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数</w:t>
            </w:r>
            <w:r>
              <w:rPr>
                <w:rFonts w:hint="eastAsia" w:ascii="华文仿宋" w:hAnsi="华文仿宋" w:eastAsia="华文仿宋" w:cs="华文仿宋"/>
                <w:b/>
                <w:bCs/>
                <w:sz w:val="21"/>
                <w:szCs w:val="21"/>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iCs/>
                <w:sz w:val="20"/>
                <w:szCs w:val="20"/>
                <w:highlight w:val="none"/>
                <w:lang w:eastAsia="zh-CN"/>
              </w:rPr>
              <w:t>软件名称</w:t>
            </w:r>
            <w:r>
              <w:rPr>
                <w:rFonts w:hint="eastAsia" w:ascii="华文仿宋" w:hAnsi="华文仿宋" w:eastAsia="华文仿宋" w:cs="华文仿宋"/>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优惠/附加条款（按类型填写）：</w:t>
      </w:r>
    </w:p>
    <w:tbl>
      <w:tblPr>
        <w:tblStyle w:val="3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i/>
                <w:iCs/>
                <w:sz w:val="20"/>
                <w:szCs w:val="20"/>
                <w:highlight w:val="none"/>
                <w:lang w:eastAsia="zh-CN"/>
              </w:rPr>
              <w:t>咨询</w:t>
            </w:r>
            <w:r>
              <w:rPr>
                <w:rFonts w:hint="eastAsia" w:ascii="华文仿宋" w:hAnsi="华文仿宋" w:eastAsia="华文仿宋" w:cs="华文仿宋"/>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系统（含软、硬件等）应提供免费维护期为</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至少1年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eastAsia="zh-CN"/>
        </w:rPr>
        <w:t>维护期内提供（</w:t>
      </w:r>
      <w:r>
        <w:rPr>
          <w:rFonts w:hint="eastAsia" w:ascii="仿宋" w:hAnsi="仿宋" w:eastAsia="仿宋" w:cs="仿宋"/>
          <w:sz w:val="28"/>
          <w:szCs w:val="28"/>
          <w:highlight w:val="none"/>
          <w:lang w:eastAsia="zh-CN"/>
        </w:rPr>
        <w:t>□</w:t>
      </w:r>
      <w:r>
        <w:rPr>
          <w:rFonts w:hint="eastAsia" w:ascii="华文仿宋" w:hAnsi="华文仿宋" w:eastAsia="华文仿宋" w:cs="华文仿宋"/>
          <w:sz w:val="28"/>
          <w:szCs w:val="28"/>
          <w:highlight w:val="none"/>
          <w:lang w:eastAsia="zh-CN"/>
        </w:rPr>
        <w:t>驻场</w:t>
      </w:r>
      <w:r>
        <w:rPr>
          <w:rFonts w:hint="eastAsia" w:ascii="华文仿宋" w:hAnsi="华文仿宋" w:eastAsia="华文仿宋" w:cs="华文仿宋"/>
          <w:sz w:val="28"/>
          <w:szCs w:val="28"/>
          <w:highlight w:val="none"/>
          <w:lang w:val="en-US" w:eastAsia="zh-CN"/>
        </w:rPr>
        <w:t xml:space="preserve"> </w:t>
      </w:r>
      <w:r>
        <w:rPr>
          <w:rFonts w:hint="eastAsia" w:ascii="仿宋" w:hAnsi="仿宋" w:eastAsia="仿宋" w:cs="仿宋"/>
          <w:sz w:val="28"/>
          <w:szCs w:val="28"/>
          <w:highlight w:val="none"/>
          <w:lang w:eastAsia="zh-CN"/>
        </w:rPr>
        <w:t>□</w:t>
      </w:r>
      <w:r>
        <w:rPr>
          <w:rFonts w:hint="eastAsia" w:ascii="华文仿宋" w:hAnsi="华文仿宋" w:eastAsia="华文仿宋" w:cs="华文仿宋"/>
          <w:sz w:val="28"/>
          <w:szCs w:val="28"/>
          <w:highlight w:val="none"/>
          <w:lang w:val="en-US" w:eastAsia="zh-CN"/>
        </w:rPr>
        <w:t xml:space="preserve">远程支持 </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u w:val="single"/>
          <w:lang w:val="en-US" w:eastAsia="zh-CN"/>
        </w:rPr>
        <w:t xml:space="preserve">       </w:t>
      </w:r>
      <w:r>
        <w:rPr>
          <w:rFonts w:hint="eastAsia" w:ascii="华文仿宋" w:hAnsi="华文仿宋" w:eastAsia="华文仿宋" w:cs="华文仿宋"/>
          <w:sz w:val="28"/>
          <w:szCs w:val="28"/>
          <w:highlight w:val="none"/>
          <w:lang w:eastAsia="zh-CN"/>
        </w:rPr>
        <w:t>）支持服务，</w:t>
      </w:r>
      <w:r>
        <w:rPr>
          <w:rFonts w:hint="eastAsia" w:ascii="华文仿宋" w:hAnsi="华文仿宋" w:eastAsia="华文仿宋" w:cs="华文仿宋"/>
          <w:sz w:val="28"/>
          <w:szCs w:val="28"/>
          <w:highlight w:val="none"/>
        </w:rPr>
        <w:t>维护期满后，每年度系统维护服务费用不超过项目总报价的</w:t>
      </w:r>
      <w:r>
        <w:rPr>
          <w:rFonts w:hint="eastAsia" w:ascii="华文仿宋" w:hAnsi="华文仿宋" w:eastAsia="华文仿宋" w:cs="华文仿宋"/>
          <w:sz w:val="28"/>
          <w:szCs w:val="28"/>
          <w:highlight w:val="none"/>
          <w:u w:val="single"/>
          <w:lang w:val="en-US" w:eastAsia="zh-CN"/>
        </w:rPr>
        <w:t xml:space="preserve">   </w:t>
      </w:r>
      <w:bookmarkStart w:id="2" w:name="_GoBack"/>
      <w:bookmarkEnd w:id="2"/>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rPr>
        <w:t>%</w:t>
      </w:r>
      <w:r>
        <w:rPr>
          <w:rFonts w:hint="default" w:ascii="华文仿宋" w:hAnsi="华文仿宋" w:eastAsia="华文仿宋" w:cs="华文仿宋"/>
          <w:sz w:val="28"/>
          <w:szCs w:val="28"/>
          <w:highlight w:val="none"/>
          <w:lang w:val="en-US"/>
        </w:rPr>
        <w:t>(</w:t>
      </w:r>
      <w:r>
        <w:rPr>
          <w:rFonts w:hint="eastAsia" w:ascii="华文仿宋" w:hAnsi="华文仿宋" w:eastAsia="华文仿宋" w:cs="华文仿宋"/>
          <w:sz w:val="28"/>
          <w:szCs w:val="28"/>
          <w:highlight w:val="none"/>
          <w:lang w:val="en-US" w:eastAsia="zh-CN"/>
        </w:rPr>
        <w:t>小于等于10%</w:t>
      </w:r>
      <w:r>
        <w:rPr>
          <w:rFonts w:hint="default" w:ascii="华文仿宋" w:hAnsi="华文仿宋" w:eastAsia="华文仿宋" w:cs="华文仿宋"/>
          <w:sz w:val="28"/>
          <w:szCs w:val="28"/>
          <w:highlight w:val="none"/>
          <w:lang w:val="en-US"/>
        </w:rPr>
        <w:t>)</w:t>
      </w:r>
      <w:r>
        <w:rPr>
          <w:rFonts w:hint="eastAsia" w:ascii="华文仿宋" w:hAnsi="华文仿宋" w:eastAsia="华文仿宋" w:cs="华文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软件类系统，系统上线</w:t>
      </w:r>
      <w:r>
        <w:rPr>
          <w:rFonts w:hint="eastAsia" w:ascii="华文仿宋" w:hAnsi="华文仿宋" w:eastAsia="华文仿宋" w:cs="华文仿宋"/>
          <w:sz w:val="28"/>
          <w:szCs w:val="28"/>
          <w:highlight w:val="yellow"/>
          <w:u w:val="single"/>
        </w:rPr>
        <w:t>2</w:t>
      </w:r>
      <w:r>
        <w:rPr>
          <w:rFonts w:hint="eastAsia" w:ascii="华文仿宋" w:hAnsi="华文仿宋" w:eastAsia="华文仿宋" w:cs="华文仿宋"/>
          <w:sz w:val="28"/>
          <w:szCs w:val="28"/>
          <w:highlight w:val="none"/>
        </w:rPr>
        <w:t>年内，</w:t>
      </w:r>
      <w:r>
        <w:rPr>
          <w:rFonts w:hint="eastAsia" w:ascii="华文仿宋" w:hAnsi="华文仿宋" w:eastAsia="华文仿宋" w:cs="华文仿宋"/>
          <w:sz w:val="28"/>
          <w:szCs w:val="28"/>
          <w:highlight w:val="none"/>
          <w:lang w:eastAsia="zh-CN"/>
        </w:rPr>
        <w:t>由于功能新增</w:t>
      </w:r>
      <w:r>
        <w:rPr>
          <w:rFonts w:hint="eastAsia" w:ascii="华文仿宋" w:hAnsi="华文仿宋" w:eastAsia="华文仿宋" w:cs="华文仿宋"/>
          <w:sz w:val="28"/>
          <w:szCs w:val="28"/>
          <w:highlight w:val="none"/>
        </w:rPr>
        <w:t>经双发协商同意需要计算工作量的，</w:t>
      </w:r>
      <w:r>
        <w:rPr>
          <w:rFonts w:hint="eastAsia" w:ascii="华文仿宋" w:hAnsi="华文仿宋" w:eastAsia="华文仿宋" w:cs="华文仿宋"/>
          <w:sz w:val="28"/>
          <w:szCs w:val="28"/>
          <w:highlight w:val="none"/>
          <w:lang w:eastAsia="zh-CN"/>
        </w:rPr>
        <w:t>工作量</w:t>
      </w:r>
      <w:r>
        <w:rPr>
          <w:rFonts w:hint="eastAsia" w:ascii="华文仿宋" w:hAnsi="华文仿宋" w:eastAsia="华文仿宋" w:cs="华文仿宋"/>
          <w:sz w:val="28"/>
          <w:szCs w:val="28"/>
          <w:highlight w:val="none"/>
        </w:rPr>
        <w:t>报价不超</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元</w:t>
      </w:r>
      <w:r>
        <w:rPr>
          <w:rFonts w:hint="eastAsia" w:ascii="华文仿宋" w:hAnsi="华文仿宋" w:eastAsia="华文仿宋" w:cs="华文仿宋"/>
          <w:sz w:val="28"/>
          <w:szCs w:val="28"/>
          <w:highlight w:val="none"/>
          <w:lang w:val="en-US" w:eastAsia="zh-CN"/>
        </w:rPr>
        <w:t>/人月</w:t>
      </w:r>
      <w:r>
        <w:rPr>
          <w:rFonts w:hint="eastAsia" w:ascii="华文仿宋" w:hAnsi="华文仿宋" w:eastAsia="华文仿宋" w:cs="华文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投标人应在项目计划进场时间安排人员进场，未在期限内完成人员进场，每延迟一日，应向招标人支付相当于项目中标总金额万分之</w:t>
      </w:r>
      <w:r>
        <w:rPr>
          <w:rFonts w:hint="eastAsia" w:ascii="华文仿宋" w:hAnsi="华文仿宋" w:eastAsia="华文仿宋" w:cs="华文仿宋"/>
          <w:sz w:val="28"/>
          <w:szCs w:val="28"/>
          <w:highlight w:val="yellow"/>
          <w:u w:val="single"/>
          <w:lang w:eastAsia="zh-CN"/>
        </w:rPr>
        <w:t>五</w:t>
      </w:r>
      <w:r>
        <w:rPr>
          <w:rFonts w:hint="eastAsia" w:ascii="华文仿宋" w:hAnsi="华文仿宋" w:eastAsia="华文仿宋" w:cs="华文仿宋"/>
          <w:sz w:val="28"/>
          <w:szCs w:val="28"/>
        </w:rPr>
        <w:t>的违约金</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ascii="宋体" w:hAnsi="宋体" w:eastAsia="宋体"/>
          <w:b w:val="0"/>
          <w:snapToGrid w:val="0"/>
          <w:color w:val="000000"/>
          <w:sz w:val="28"/>
          <w:szCs w:val="28"/>
        </w:rPr>
      </w:pPr>
      <w:r>
        <w:rPr>
          <w:rFonts w:ascii="宋体" w:hAnsi="宋体"/>
          <w:sz w:val="28"/>
          <w:szCs w:val="28"/>
        </w:rPr>
        <w:br w:type="page"/>
      </w:r>
      <w:r>
        <w:rPr>
          <w:rFonts w:hint="eastAsia" w:ascii="仿宋" w:hAnsi="仿宋" w:eastAsia="仿宋" w:cs="仿宋"/>
          <w:b w:val="0"/>
          <w:snapToGrid w:val="0"/>
          <w:color w:val="000000"/>
          <w:sz w:val="28"/>
          <w:szCs w:val="28"/>
        </w:rPr>
        <w:t>附件4：投标人情况简介</w:t>
      </w:r>
    </w:p>
    <w:p>
      <w:pPr>
        <w:jc w:val="center"/>
        <w:rPr>
          <w:rFonts w:hint="default"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投标人情况简介</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投标人名称：</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地址：</w:t>
      </w:r>
      <w:r>
        <w:rPr>
          <w:rFonts w:hint="eastAsia" w:ascii="华文仿宋" w:hAnsi="华文仿宋" w:eastAsia="华文仿宋" w:cs="华文仿宋"/>
          <w:snapToGrid w:val="0"/>
          <w:color w:val="000000"/>
          <w:sz w:val="28"/>
          <w:szCs w:val="28"/>
          <w:u w:val="single"/>
        </w:rPr>
        <w:t xml:space="preserve">                   </w:t>
      </w:r>
      <w:r>
        <w:rPr>
          <w:rFonts w:hint="eastAsia" w:ascii="华文仿宋" w:hAnsi="华文仿宋" w:eastAsia="华文仿宋" w:cs="华文仿宋"/>
          <w:snapToGrid w:val="0"/>
          <w:color w:val="000000"/>
          <w:sz w:val="28"/>
          <w:szCs w:val="28"/>
        </w:rPr>
        <w:t>邮编：</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传真／电话：</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成立日期或注册日期：</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法定代表人或主要负责人姓名：</w:t>
      </w:r>
      <w:r>
        <w:rPr>
          <w:rFonts w:hint="eastAsia" w:ascii="华文仿宋" w:hAnsi="华文仿宋" w:eastAsia="华文仿宋" w:cs="华文仿宋"/>
          <w:snapToGrid w:val="0"/>
          <w:color w:val="000000"/>
          <w:sz w:val="28"/>
          <w:szCs w:val="28"/>
          <w:u w:val="single"/>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u w:val="single"/>
        </w:rPr>
      </w:pPr>
      <w:r>
        <w:rPr>
          <w:rFonts w:hint="eastAsia" w:ascii="华文仿宋" w:hAnsi="华文仿宋" w:eastAsia="华文仿宋" w:cs="华文仿宋"/>
          <w:snapToGrid w:val="0"/>
          <w:color w:val="000000"/>
          <w:sz w:val="28"/>
          <w:szCs w:val="28"/>
        </w:rPr>
        <w:t>注册资本：</w:t>
      </w:r>
      <w:r>
        <w:rPr>
          <w:rFonts w:hint="eastAsia" w:ascii="华文仿宋" w:hAnsi="华文仿宋" w:eastAsia="华文仿宋" w:cs="华文仿宋"/>
          <w:snapToGrid w:val="0"/>
          <w:color w:val="000000"/>
          <w:sz w:val="28"/>
          <w:szCs w:val="28"/>
          <w:u w:val="single"/>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业绩或服务的情况：</w:t>
      </w: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u w:val="single"/>
          <w:lang w:val="en-US" w:eastAsia="zh-CN"/>
        </w:rPr>
      </w:pPr>
      <w:r>
        <w:rPr>
          <w:rFonts w:hint="eastAsia" w:ascii="华文仿宋" w:hAnsi="华文仿宋" w:eastAsia="华文仿宋" w:cs="华文仿宋"/>
          <w:snapToGrid w:val="0"/>
          <w:color w:val="000000"/>
          <w:sz w:val="24"/>
          <w:szCs w:val="24"/>
          <w:lang w:eastAsia="zh-CN"/>
        </w:rPr>
        <w:t>成立</w:t>
      </w:r>
      <w:r>
        <w:rPr>
          <w:rFonts w:hint="eastAsia" w:ascii="华文仿宋" w:hAnsi="华文仿宋" w:eastAsia="华文仿宋" w:cs="华文仿宋"/>
          <w:snapToGrid w:val="0"/>
          <w:color w:val="000000"/>
          <w:sz w:val="24"/>
          <w:szCs w:val="24"/>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华文仿宋" w:hAnsi="华文仿宋" w:eastAsia="华文仿宋" w:cs="华文仿宋"/>
          <w:snapToGrid w:val="0"/>
          <w:color w:val="000000"/>
          <w:sz w:val="24"/>
          <w:szCs w:val="24"/>
          <w:u w:val="single"/>
          <w:lang w:val="en-US" w:eastAsia="zh-CN"/>
        </w:rPr>
      </w:pP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lang w:eastAsia="zh-CN"/>
        </w:rPr>
      </w:pPr>
      <w:r>
        <w:rPr>
          <w:rFonts w:hint="eastAsia" w:ascii="华文仿宋" w:hAnsi="华文仿宋" w:eastAsia="华文仿宋" w:cs="华文仿宋"/>
          <w:snapToGrid w:val="0"/>
          <w:color w:val="000000"/>
          <w:sz w:val="24"/>
          <w:szCs w:val="24"/>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p>
    <w:p>
      <w:pPr>
        <w:pStyle w:val="20"/>
        <w:tabs>
          <w:tab w:val="left" w:pos="360"/>
        </w:tabs>
        <w:adjustRightInd w:val="0"/>
        <w:rPr>
          <w:rFonts w:hint="eastAsia" w:ascii="华文仿宋" w:hAnsi="华文仿宋" w:eastAsia="华文仿宋" w:cs="华文仿宋"/>
          <w:snapToGrid w:val="0"/>
          <w:color w:val="000000"/>
          <w:sz w:val="28"/>
          <w:szCs w:val="28"/>
        </w:rPr>
      </w:pP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u w:val="single"/>
          <w:lang w:val="en-US" w:eastAsia="zh-CN"/>
        </w:rPr>
      </w:pPr>
      <w:r>
        <w:rPr>
          <w:rFonts w:hint="eastAsia" w:ascii="华文仿宋" w:hAnsi="华文仿宋" w:eastAsia="华文仿宋" w:cs="华文仿宋"/>
          <w:snapToGrid w:val="0"/>
          <w:color w:val="000000"/>
          <w:sz w:val="28"/>
          <w:szCs w:val="28"/>
        </w:rPr>
        <w:t xml:space="preserve">所属集团（如有的话）： </w:t>
      </w:r>
      <w:r>
        <w:rPr>
          <w:rFonts w:hint="eastAsia" w:ascii="华文仿宋" w:hAnsi="华文仿宋" w:eastAsia="华文仿宋" w:cs="华文仿宋"/>
          <w:snapToGrid w:val="0"/>
          <w:color w:val="000000"/>
          <w:sz w:val="28"/>
          <w:szCs w:val="28"/>
          <w:u w:val="single"/>
        </w:rPr>
        <w:t xml:space="preserve">           </w:t>
      </w:r>
      <w:r>
        <w:rPr>
          <w:rFonts w:hint="eastAsia" w:ascii="华文仿宋" w:hAnsi="华文仿宋" w:eastAsia="华文仿宋" w:cs="华文仿宋"/>
          <w:snapToGrid w:val="0"/>
          <w:color w:val="000000"/>
          <w:sz w:val="28"/>
          <w:szCs w:val="28"/>
          <w:u w:val="single"/>
          <w:lang w:val="en-US" w:eastAsia="zh-CN"/>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kern w:val="2"/>
          <w:sz w:val="28"/>
          <w:szCs w:val="28"/>
          <w:lang w:val="en-US" w:eastAsia="zh-CN" w:bidi="ar-SA"/>
        </w:rPr>
      </w:pPr>
      <w:r>
        <w:rPr>
          <w:rFonts w:hint="eastAsia" w:ascii="华文仿宋" w:hAnsi="华文仿宋" w:eastAsia="华文仿宋" w:cs="华文仿宋"/>
          <w:snapToGrid w:val="0"/>
          <w:color w:val="000000"/>
          <w:sz w:val="28"/>
          <w:szCs w:val="28"/>
          <w:lang w:val="en-US" w:eastAsia="zh-CN"/>
        </w:rPr>
        <w:t xml:space="preserve">其它情况（组织、机构、技术力量、参与本产品的实施人员情况等）  </w:t>
      </w:r>
      <w:r>
        <w:rPr>
          <w:rFonts w:hint="eastAsia" w:ascii="华文仿宋" w:hAnsi="华文仿宋" w:eastAsia="华文仿宋" w:cs="华文仿宋"/>
          <w:snapToGrid w:val="0"/>
          <w:color w:val="000000"/>
          <w:kern w:val="2"/>
          <w:sz w:val="28"/>
          <w:szCs w:val="28"/>
          <w:lang w:val="en-US" w:eastAsia="zh-CN" w:bidi="ar-SA"/>
        </w:rPr>
        <w:t xml:space="preserve"> </w:t>
      </w:r>
    </w:p>
    <w:p>
      <w:pPr>
        <w:pStyle w:val="20"/>
        <w:numPr>
          <w:ilvl w:val="0"/>
          <w:numId w:val="0"/>
        </w:numPr>
        <w:adjustRightInd w:val="0"/>
        <w:ind w:leftChars="-166"/>
        <w:rPr>
          <w:rFonts w:hint="eastAsia" w:ascii="华文仿宋" w:hAnsi="华文仿宋" w:eastAsia="华文仿宋" w:cs="华文仿宋"/>
          <w:snapToGrid w:val="0"/>
          <w:color w:val="000000"/>
          <w:kern w:val="2"/>
          <w:sz w:val="28"/>
          <w:szCs w:val="28"/>
          <w:lang w:val="en-US" w:eastAsia="zh-CN" w:bidi="ar-SA"/>
        </w:rPr>
      </w:pPr>
    </w:p>
    <w:p>
      <w:pPr>
        <w:pStyle w:val="20"/>
        <w:widowControl w:val="0"/>
        <w:numPr>
          <w:ilvl w:val="0"/>
          <w:numId w:val="0"/>
        </w:numPr>
        <w:adjustRightInd w:val="0"/>
        <w:jc w:val="both"/>
        <w:rPr>
          <w:rFonts w:hint="eastAsia" w:ascii="华文仿宋" w:hAnsi="华文仿宋" w:eastAsia="华文仿宋" w:cs="华文仿宋"/>
          <w:snapToGrid w:val="0"/>
          <w:color w:val="000000"/>
          <w:kern w:val="2"/>
          <w:sz w:val="28"/>
          <w:szCs w:val="28"/>
          <w:lang w:val="en-US" w:eastAsia="zh-CN" w:bidi="ar-SA"/>
        </w:rPr>
      </w:pPr>
    </w:p>
    <w:p>
      <w:pPr>
        <w:pStyle w:val="123"/>
        <w:adjustRightInd w:val="0"/>
        <w:outlineLvl w:val="1"/>
        <w:rPr>
          <w:rFonts w:ascii="仿宋" w:hAnsi="仿宋" w:eastAsia="仿宋" w:cs="仿宋"/>
          <w:sz w:val="28"/>
          <w:szCs w:val="28"/>
        </w:rPr>
      </w:pPr>
      <w:r>
        <w:rPr>
          <w:rFonts w:hint="eastAsia" w:ascii="华文仿宋" w:hAnsi="华文仿宋" w:eastAsia="华文仿宋" w:cs="华文仿宋"/>
          <w:snapToGrid w:val="0"/>
          <w:color w:val="000000"/>
          <w:kern w:val="2"/>
          <w:sz w:val="28"/>
          <w:szCs w:val="28"/>
          <w:lang w:val="en-US" w:eastAsia="zh-CN" w:bidi="ar-SA"/>
        </w:rPr>
        <w:br w:type="page"/>
      </w:r>
      <w:r>
        <w:rPr>
          <w:rFonts w:hint="eastAsia" w:ascii="仿宋" w:hAnsi="仿宋" w:eastAsia="仿宋" w:cs="仿宋"/>
          <w:snapToGrid w:val="0"/>
          <w:color w:val="000000"/>
          <w:sz w:val="28"/>
          <w:szCs w:val="28"/>
        </w:rPr>
        <w:t>附件5：外包服务供应商风险信息表</w:t>
      </w:r>
    </w:p>
    <w:p>
      <w:pPr>
        <w:jc w:val="center"/>
        <w:rPr>
          <w:rFonts w:ascii="仿宋" w:hAnsi="仿宋" w:eastAsia="仿宋" w:cs="仿宋"/>
          <w:b/>
          <w:snapToGrid w:val="0"/>
          <w:color w:val="000000"/>
          <w:sz w:val="32"/>
          <w:szCs w:val="32"/>
        </w:rPr>
      </w:pPr>
      <w:r>
        <w:rPr>
          <w:rFonts w:hint="eastAsia" w:ascii="仿宋" w:hAnsi="仿宋" w:eastAsia="仿宋" w:cs="仿宋"/>
          <w:b/>
          <w:snapToGrid w:val="0"/>
          <w:color w:val="000000"/>
          <w:sz w:val="32"/>
          <w:szCs w:val="32"/>
        </w:rPr>
        <w:t>外包服务供应商风险信息表</w:t>
      </w:r>
    </w:p>
    <w:tbl>
      <w:tblPr>
        <w:tblStyle w:val="32"/>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ascii="仿宋" w:hAnsi="仿宋" w:eastAsia="仿宋" w:cs="仿宋"/>
                <w:sz w:val="24"/>
                <w:szCs w:val="24"/>
              </w:rPr>
            </w:pPr>
            <w:r>
              <w:rPr>
                <w:rFonts w:hint="eastAsia" w:ascii="仿宋" w:hAnsi="仿宋" w:eastAsia="仿宋" w:cs="仿宋"/>
                <w:sz w:val="24"/>
                <w:szCs w:val="24"/>
              </w:rPr>
              <w:t>服务供应商名称</w:t>
            </w:r>
          </w:p>
        </w:tc>
        <w:tc>
          <w:tcPr>
            <w:tcW w:w="5880" w:type="dxa"/>
            <w:vAlign w:val="center"/>
          </w:tcPr>
          <w:p>
            <w:pPr>
              <w:spacing w:line="320" w:lineRule="exact"/>
              <w:jc w:val="lef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ascii="仿宋" w:hAnsi="仿宋" w:eastAsia="仿宋" w:cs="仿宋"/>
                <w:sz w:val="24"/>
                <w:szCs w:val="24"/>
              </w:rPr>
            </w:pPr>
            <w:r>
              <w:rPr>
                <w:rFonts w:hint="eastAsia" w:ascii="仿宋" w:hAnsi="仿宋" w:eastAsia="仿宋" w:cs="仿宋"/>
                <w:b/>
                <w:bCs/>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jc w:val="center"/>
        </w:trPr>
        <w:tc>
          <w:tcPr>
            <w:tcW w:w="2451" w:type="dxa"/>
            <w:vAlign w:val="center"/>
          </w:tcPr>
          <w:p>
            <w:pPr>
              <w:spacing w:line="320" w:lineRule="exact"/>
              <w:jc w:val="left"/>
              <w:rPr>
                <w:rFonts w:ascii="仿宋" w:hAnsi="仿宋" w:eastAsia="仿宋" w:cs="仿宋"/>
                <w:sz w:val="24"/>
                <w:szCs w:val="24"/>
              </w:rPr>
            </w:pPr>
            <w:r>
              <w:rPr>
                <w:rFonts w:hint="eastAsia" w:ascii="仿宋" w:hAnsi="仿宋" w:eastAsia="仿宋" w:cs="仿宋"/>
                <w:sz w:val="24"/>
                <w:szCs w:val="24"/>
              </w:rPr>
              <w:t>1.服务供应商成立时间及其发展历程</w:t>
            </w:r>
          </w:p>
        </w:tc>
        <w:tc>
          <w:tcPr>
            <w:tcW w:w="5880" w:type="dxa"/>
          </w:tcPr>
          <w:p>
            <w:pPr>
              <w:spacing w:line="320" w:lineRule="exact"/>
              <w:jc w:val="lef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2.服务供应商的主要股东</w:t>
            </w:r>
          </w:p>
        </w:tc>
        <w:tc>
          <w:tcPr>
            <w:tcW w:w="5880" w:type="dxa"/>
            <w:vAlign w:val="center"/>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3.服务供应商的主要经营范围</w:t>
            </w:r>
          </w:p>
        </w:tc>
        <w:tc>
          <w:tcPr>
            <w:tcW w:w="5880" w:type="dxa"/>
            <w:shd w:val="clear" w:color="auto" w:fill="FFFFFF"/>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4.服务供应商的企业性质（内资企业/港澳台商投资企业/外商投资企业/境外企业）</w:t>
            </w:r>
          </w:p>
        </w:tc>
        <w:tc>
          <w:tcPr>
            <w:tcW w:w="5880" w:type="dxa"/>
            <w:vAlign w:val="center"/>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5.服务供应商近三年资产规模、主要收入、盈利状况</w:t>
            </w:r>
          </w:p>
        </w:tc>
        <w:tc>
          <w:tcPr>
            <w:tcW w:w="588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6.服务供应商目前员工人数、人员学历结构</w:t>
            </w:r>
          </w:p>
        </w:tc>
        <w:tc>
          <w:tcPr>
            <w:tcW w:w="588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7.列举同业提供类似性质和规模的服务经验</w:t>
            </w:r>
          </w:p>
        </w:tc>
        <w:tc>
          <w:tcPr>
            <w:tcW w:w="5880" w:type="dxa"/>
            <w:vAlign w:val="center"/>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8.列举在最近三年的经营活动中违法违纪等不良记录（如有）</w:t>
            </w:r>
          </w:p>
        </w:tc>
        <w:tc>
          <w:tcPr>
            <w:tcW w:w="588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　</w:t>
            </w:r>
          </w:p>
          <w:p>
            <w:pPr>
              <w:spacing w:line="320" w:lineRule="exact"/>
              <w:rPr>
                <w:rFonts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9.提供服务供应商业务连续性安排和应急预案</w:t>
            </w:r>
          </w:p>
        </w:tc>
        <w:tc>
          <w:tcPr>
            <w:tcW w:w="5880" w:type="dxa"/>
            <w:vAlign w:val="center"/>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10.提供企业相关资质（如有）</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11.提供核心产品或服务</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（1）自主产品或服务：</w:t>
            </w: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w:t>
            </w:r>
          </w:p>
          <w:p>
            <w:pPr>
              <w:spacing w:line="320" w:lineRule="exact"/>
              <w:rPr>
                <w:rFonts w:hint="eastAsia" w:ascii="仿宋" w:hAnsi="仿宋" w:eastAsia="仿宋" w:cs="仿宋"/>
                <w:sz w:val="24"/>
                <w:szCs w:val="24"/>
              </w:rPr>
            </w:pPr>
            <w:r>
              <w:rPr>
                <w:rFonts w:hint="eastAsia" w:ascii="仿宋" w:hAnsi="仿宋" w:eastAsia="仿宋" w:cs="仿宋"/>
                <w:sz w:val="24"/>
                <w:szCs w:val="24"/>
              </w:rPr>
              <w:t>（2）代理产品或服务：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tcPr>
          <w:p>
            <w:pPr>
              <w:spacing w:line="32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t xml:space="preserve">服务供应商（盖章）：                                </w:t>
            </w:r>
          </w:p>
          <w:p>
            <w:pPr>
              <w:spacing w:line="320" w:lineRule="exact"/>
              <w:rPr>
                <w:rFonts w:ascii="仿宋" w:hAnsi="仿宋" w:eastAsia="仿宋" w:cs="仿宋"/>
                <w:sz w:val="24"/>
                <w:szCs w:val="24"/>
              </w:rPr>
            </w:pPr>
          </w:p>
          <w:p>
            <w:pPr>
              <w:spacing w:line="320" w:lineRule="exact"/>
              <w:rPr>
                <w:rFonts w:ascii="仿宋" w:hAnsi="仿宋" w:eastAsia="仿宋" w:cs="仿宋"/>
                <w:sz w:val="24"/>
                <w:szCs w:val="24"/>
              </w:rPr>
            </w:pPr>
          </w:p>
          <w:p>
            <w:pPr>
              <w:spacing w:line="320" w:lineRule="exact"/>
              <w:rPr>
                <w:rFonts w:ascii="仿宋" w:hAnsi="仿宋" w:eastAsia="仿宋" w:cs="仿宋"/>
                <w:sz w:val="24"/>
                <w:szCs w:val="24"/>
              </w:rPr>
            </w:pPr>
          </w:p>
          <w:p>
            <w:pPr>
              <w:spacing w:line="320" w:lineRule="exact"/>
              <w:rPr>
                <w:rFonts w:ascii="仿宋" w:hAnsi="仿宋" w:eastAsia="仿宋" w:cs="仿宋"/>
                <w:sz w:val="24"/>
                <w:szCs w:val="24"/>
              </w:rPr>
            </w:pPr>
          </w:p>
          <w:p>
            <w:pPr>
              <w:spacing w:line="320" w:lineRule="exact"/>
              <w:jc w:val="left"/>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rPr>
              <w:t xml:space="preserve">                                      </w:t>
            </w:r>
          </w:p>
        </w:tc>
      </w:tr>
    </w:tbl>
    <w:p/>
    <w:p/>
    <w:p>
      <w:pPr>
        <w:pStyle w:val="3"/>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预估实施周期：3月24天（按工作日测算）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300" w:firstLine="418"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需求阶段：2022年9月19日</w:t>
      </w:r>
      <w:r>
        <w:rPr>
          <w:rFonts w:hint="eastAsia" w:ascii="华文仿宋" w:hAnsi="华文仿宋" w:eastAsia="华文仿宋" w:cs="华文仿宋"/>
          <w:sz w:val="24"/>
          <w:szCs w:val="24"/>
          <w:lang w:val="en-US" w:eastAsia="zh-CN"/>
        </w:rPr>
        <w:tab/>
      </w:r>
      <w:r>
        <w:rPr>
          <w:rFonts w:hint="eastAsia" w:ascii="华文仿宋" w:hAnsi="华文仿宋" w:eastAsia="华文仿宋" w:cs="华文仿宋"/>
          <w:sz w:val="24"/>
          <w:szCs w:val="24"/>
          <w:lang w:val="en-US" w:eastAsia="zh-CN"/>
        </w:rPr>
        <w:t>至2022年9 月30日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实施阶段：2022年10月10日 至2023年1 月14日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验收阶段：2023年1月15日</w:t>
      </w:r>
      <w:r>
        <w:rPr>
          <w:rFonts w:hint="eastAsia" w:ascii="华文仿宋" w:hAnsi="华文仿宋" w:eastAsia="华文仿宋" w:cs="华文仿宋"/>
          <w:sz w:val="24"/>
          <w:szCs w:val="24"/>
          <w:lang w:val="en-US" w:eastAsia="zh-CN"/>
        </w:rPr>
        <w:tab/>
      </w:r>
      <w:r>
        <w:rPr>
          <w:rFonts w:hint="eastAsia" w:ascii="华文仿宋" w:hAnsi="华文仿宋" w:eastAsia="华文仿宋" w:cs="华文仿宋"/>
          <w:sz w:val="24"/>
          <w:szCs w:val="24"/>
          <w:lang w:val="en-US" w:eastAsia="zh-CN"/>
        </w:rPr>
        <w:t>至2023 年2月28日</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项目需求</w:t>
      </w:r>
    </w:p>
    <w:p>
      <w:pPr>
        <w:numPr>
          <w:ilvl w:val="0"/>
          <w:numId w:val="24"/>
        </w:numPr>
        <w:rPr>
          <w:rFonts w:hint="eastAsia" w:ascii="仿宋" w:hAnsi="仿宋" w:eastAsia="仿宋" w:cs="仿宋"/>
          <w:sz w:val="28"/>
          <w:szCs w:val="28"/>
        </w:rPr>
      </w:pPr>
      <w:r>
        <w:rPr>
          <w:rFonts w:hint="eastAsia" w:ascii="仿宋" w:hAnsi="仿宋" w:eastAsia="仿宋" w:cs="仿宋"/>
          <w:sz w:val="28"/>
          <w:szCs w:val="28"/>
        </w:rPr>
        <w:t>整体需求</w:t>
      </w:r>
    </w:p>
    <w:tbl>
      <w:tblPr>
        <w:tblStyle w:val="32"/>
        <w:tblW w:w="8532" w:type="dxa"/>
        <w:tblInd w:w="0" w:type="dxa"/>
        <w:tblLayout w:type="fixed"/>
        <w:tblCellMar>
          <w:top w:w="15" w:type="dxa"/>
          <w:left w:w="15" w:type="dxa"/>
          <w:bottom w:w="15" w:type="dxa"/>
          <w:right w:w="15" w:type="dxa"/>
        </w:tblCellMar>
      </w:tblPr>
      <w:tblGrid>
        <w:gridCol w:w="1830"/>
        <w:gridCol w:w="3030"/>
        <w:gridCol w:w="3672"/>
      </w:tblGrid>
      <w:tr>
        <w:tblPrEx>
          <w:tblLayout w:type="fixed"/>
          <w:tblCellMar>
            <w:top w:w="15" w:type="dxa"/>
            <w:left w:w="15" w:type="dxa"/>
            <w:bottom w:w="15" w:type="dxa"/>
            <w:right w:w="15" w:type="dxa"/>
          </w:tblCellMar>
        </w:tblPrEx>
        <w:trPr>
          <w:trHeight w:val="285"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功能项/模块</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具体功能点</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功能描述</w:t>
            </w:r>
          </w:p>
        </w:tc>
      </w:tr>
      <w:tr>
        <w:tblPrEx>
          <w:tblLayout w:type="fixed"/>
          <w:tblCellMar>
            <w:top w:w="15" w:type="dxa"/>
            <w:left w:w="15" w:type="dxa"/>
            <w:bottom w:w="15" w:type="dxa"/>
            <w:right w:w="15" w:type="dxa"/>
          </w:tblCellMar>
        </w:tblPrEx>
        <w:trPr>
          <w:trHeight w:val="81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系统支持</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支持主流服务器操作系统</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可以安装在主流操作系统，Redhat/suse </w:t>
            </w:r>
            <w:r>
              <w:rPr>
                <w:rFonts w:hint="eastAsia" w:ascii="仿宋" w:hAnsi="仿宋" w:eastAsia="仿宋" w:cs="仿宋"/>
                <w:color w:val="000000"/>
                <w:kern w:val="0"/>
                <w:sz w:val="24"/>
                <w:szCs w:val="24"/>
                <w:lang w:val="en-US" w:eastAsia="zh-CN"/>
              </w:rPr>
              <w:t>/麒麟/统信</w:t>
            </w:r>
            <w:r>
              <w:rPr>
                <w:rFonts w:hint="eastAsia" w:ascii="仿宋" w:hAnsi="仿宋" w:eastAsia="仿宋" w:cs="仿宋"/>
                <w:color w:val="000000"/>
                <w:kern w:val="0"/>
                <w:sz w:val="24"/>
                <w:szCs w:val="24"/>
              </w:rPr>
              <w:t>等服务器上</w:t>
            </w:r>
          </w:p>
        </w:tc>
      </w:tr>
      <w:tr>
        <w:tblPrEx>
          <w:tblLayout w:type="fixed"/>
          <w:tblCellMar>
            <w:top w:w="15" w:type="dxa"/>
            <w:left w:w="15" w:type="dxa"/>
            <w:bottom w:w="15" w:type="dxa"/>
            <w:right w:w="15" w:type="dxa"/>
          </w:tblCellMar>
        </w:tblPrEx>
        <w:trPr>
          <w:trHeight w:val="81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基础架构</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具备横向扩展能力</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支持根据监控对象数量，对关键节点进行横向扩展</w:t>
            </w:r>
          </w:p>
        </w:tc>
      </w:tr>
      <w:tr>
        <w:tblPrEx>
          <w:tblLayout w:type="fixed"/>
          <w:tblCellMar>
            <w:top w:w="15" w:type="dxa"/>
            <w:left w:w="15" w:type="dxa"/>
            <w:bottom w:w="15" w:type="dxa"/>
            <w:right w:w="15" w:type="dxa"/>
          </w:tblCellMar>
        </w:tblPrEx>
        <w:trPr>
          <w:trHeight w:val="81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嵌入形式</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多渠道嵌入</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支持网页、蓝信等形式的接入，并能与行内软件实现整合，如自动化运维平台</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CMDB</w:t>
            </w:r>
          </w:p>
        </w:tc>
      </w:tr>
      <w:tr>
        <w:tblPrEx>
          <w:tblLayout w:type="fixed"/>
          <w:tblCellMar>
            <w:top w:w="15" w:type="dxa"/>
            <w:left w:w="15" w:type="dxa"/>
            <w:bottom w:w="15" w:type="dxa"/>
            <w:right w:w="15"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后台管理</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具备统一后管系统</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具备统一的后管系统，功能完善、支持多人共同使用</w:t>
            </w:r>
          </w:p>
        </w:tc>
      </w:tr>
      <w:tr>
        <w:tblPrEx>
          <w:tblLayout w:type="fixed"/>
          <w:tblCellMar>
            <w:top w:w="15" w:type="dxa"/>
            <w:left w:w="15" w:type="dxa"/>
            <w:bottom w:w="15" w:type="dxa"/>
            <w:right w:w="15"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调用形式</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具备成熟基础产品或支持集成</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5"/>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厂商自身具备前端应用程序；</w:t>
            </w:r>
          </w:p>
          <w:p>
            <w:pPr>
              <w:widowControl/>
              <w:numPr>
                <w:ilvl w:val="0"/>
                <w:numId w:val="25"/>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支持与行内各类系统集成，以调用形式实现</w:t>
            </w:r>
          </w:p>
        </w:tc>
      </w:tr>
      <w:tr>
        <w:tblPrEx>
          <w:tblLayout w:type="fixed"/>
          <w:tblCellMar>
            <w:top w:w="15" w:type="dxa"/>
            <w:left w:w="15" w:type="dxa"/>
            <w:bottom w:w="15" w:type="dxa"/>
            <w:right w:w="15"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历史数据迁移</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支持历史数据调阅</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支持历史性能数据、告警数据接入，并能够提供查询</w:t>
            </w:r>
          </w:p>
        </w:tc>
      </w:tr>
      <w:tr>
        <w:tblPrEx>
          <w:tblLayout w:type="fixed"/>
          <w:tblCellMar>
            <w:top w:w="15" w:type="dxa"/>
            <w:left w:w="15" w:type="dxa"/>
            <w:bottom w:w="15" w:type="dxa"/>
            <w:right w:w="15"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稳定性</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系统及功能稳定</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监控数据、告警数据能完全保存，具备实时及事后检查调阅能力</w:t>
            </w:r>
          </w:p>
        </w:tc>
      </w:tr>
      <w:tr>
        <w:tblPrEx>
          <w:tblLayout w:type="fixed"/>
          <w:tblCellMar>
            <w:top w:w="15" w:type="dxa"/>
            <w:left w:w="15" w:type="dxa"/>
            <w:bottom w:w="15" w:type="dxa"/>
            <w:right w:w="15"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容灾能力</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高可用</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平台本身以及主要组件，如核心服务器、代理端、数据仓库等，均支持集群化高可用部署，或是根据业务需要进行双中心容灾。</w:t>
            </w:r>
          </w:p>
        </w:tc>
      </w:tr>
      <w:tr>
        <w:tblPrEx>
          <w:tblLayout w:type="fixed"/>
          <w:tblCellMar>
            <w:top w:w="15" w:type="dxa"/>
            <w:left w:w="15" w:type="dxa"/>
            <w:bottom w:w="15" w:type="dxa"/>
            <w:right w:w="15"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备份能力</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支持平台、核心节点的备份功能</w:t>
            </w:r>
          </w:p>
        </w:tc>
      </w:tr>
      <w:tr>
        <w:tblPrEx>
          <w:tblLayout w:type="fixed"/>
          <w:tblCellMar>
            <w:top w:w="15" w:type="dxa"/>
            <w:left w:w="15" w:type="dxa"/>
            <w:bottom w:w="15" w:type="dxa"/>
            <w:right w:w="15"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人员资质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人员资质要求</w:t>
            </w:r>
          </w:p>
        </w:tc>
        <w:tc>
          <w:tcPr>
            <w:tcW w:w="3672"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6"/>
              </w:numPr>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专职</w:t>
            </w:r>
            <w:r>
              <w:rPr>
                <w:rFonts w:hint="eastAsia" w:ascii="仿宋" w:hAnsi="仿宋" w:eastAsia="仿宋" w:cs="仿宋"/>
                <w:color w:val="000000"/>
                <w:sz w:val="24"/>
                <w:szCs w:val="24"/>
                <w:lang w:eastAsia="zh-CN"/>
              </w:rPr>
              <w:t>驻场</w:t>
            </w:r>
            <w:r>
              <w:rPr>
                <w:rFonts w:hint="eastAsia" w:ascii="仿宋" w:hAnsi="仿宋" w:eastAsia="仿宋" w:cs="仿宋"/>
                <w:color w:val="000000"/>
                <w:sz w:val="24"/>
                <w:szCs w:val="24"/>
              </w:rPr>
              <w:t>项目经理一名，实施人员不少于两名</w:t>
            </w:r>
          </w:p>
          <w:p>
            <w:pPr>
              <w:widowControl/>
              <w:numPr>
                <w:ilvl w:val="0"/>
                <w:numId w:val="26"/>
              </w:numPr>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必须</w:t>
            </w:r>
            <w:r>
              <w:rPr>
                <w:rFonts w:hint="eastAsia" w:ascii="仿宋" w:hAnsi="仿宋" w:eastAsia="仿宋" w:cs="仿宋"/>
                <w:color w:val="000000"/>
                <w:sz w:val="24"/>
                <w:szCs w:val="24"/>
                <w:lang w:eastAsia="zh-CN"/>
              </w:rPr>
              <w:t>至少拥有</w:t>
            </w:r>
            <w:r>
              <w:rPr>
                <w:rFonts w:hint="eastAsia" w:ascii="仿宋" w:hAnsi="仿宋" w:eastAsia="仿宋" w:cs="仿宋"/>
                <w:color w:val="000000"/>
                <w:sz w:val="24"/>
                <w:szCs w:val="24"/>
              </w:rPr>
              <w:t>有zabbix</w:t>
            </w:r>
            <w:r>
              <w:rPr>
                <w:rFonts w:hint="eastAsia" w:ascii="仿宋" w:hAnsi="仿宋" w:eastAsia="仿宋" w:cs="仿宋"/>
                <w:color w:val="000000"/>
                <w:sz w:val="24"/>
                <w:szCs w:val="24"/>
                <w:lang w:eastAsia="zh-CN"/>
              </w:rPr>
              <w:t>中级</w:t>
            </w:r>
            <w:r>
              <w:rPr>
                <w:rFonts w:hint="eastAsia" w:ascii="仿宋" w:hAnsi="仿宋" w:eastAsia="仿宋" w:cs="仿宋"/>
                <w:color w:val="000000"/>
                <w:sz w:val="24"/>
                <w:szCs w:val="24"/>
              </w:rPr>
              <w:t>认证工程师(ZC</w:t>
            </w:r>
            <w:r>
              <w:rPr>
                <w:rFonts w:hint="eastAsia" w:ascii="仿宋" w:hAnsi="仿宋" w:eastAsia="仿宋" w:cs="仿宋"/>
                <w:color w:val="000000"/>
                <w:sz w:val="24"/>
                <w:szCs w:val="24"/>
                <w:lang w:val="en-US" w:eastAsia="zh-CN"/>
              </w:rPr>
              <w:t>S</w:t>
            </w:r>
            <w:r>
              <w:rPr>
                <w:rFonts w:hint="eastAsia" w:ascii="仿宋" w:hAnsi="仿宋" w:eastAsia="仿宋" w:cs="仿宋"/>
                <w:color w:val="000000"/>
                <w:sz w:val="24"/>
                <w:szCs w:val="24"/>
              </w:rPr>
              <w:t>)，项目经理必须是ZC</w:t>
            </w:r>
            <w:r>
              <w:rPr>
                <w:rFonts w:hint="eastAsia" w:ascii="仿宋" w:hAnsi="仿宋" w:eastAsia="仿宋" w:cs="仿宋"/>
                <w:color w:val="000000"/>
                <w:sz w:val="24"/>
                <w:szCs w:val="24"/>
                <w:lang w:val="en-US" w:eastAsia="zh-CN"/>
              </w:rPr>
              <w:t>S</w:t>
            </w:r>
            <w:r>
              <w:rPr>
                <w:rFonts w:hint="eastAsia" w:ascii="仿宋" w:hAnsi="仿宋" w:eastAsia="仿宋" w:cs="仿宋"/>
                <w:color w:val="000000"/>
                <w:sz w:val="24"/>
                <w:szCs w:val="24"/>
              </w:rPr>
              <w:t>。</w:t>
            </w:r>
          </w:p>
        </w:tc>
      </w:tr>
    </w:tbl>
    <w:p>
      <w:pPr>
        <w:numPr>
          <w:ilvl w:val="0"/>
          <w:numId w:val="0"/>
        </w:numPr>
        <w:rPr>
          <w:rFonts w:hint="eastAsia" w:ascii="仿宋" w:hAnsi="仿宋" w:eastAsia="仿宋" w:cs="仿宋"/>
          <w:sz w:val="24"/>
          <w:szCs w:val="24"/>
        </w:rPr>
      </w:pPr>
    </w:p>
    <w:p>
      <w:pPr>
        <w:numPr>
          <w:ilvl w:val="0"/>
          <w:numId w:val="24"/>
        </w:numPr>
        <w:rPr>
          <w:rFonts w:hint="eastAsia" w:ascii="仿宋" w:hAnsi="仿宋" w:eastAsia="仿宋" w:cs="仿宋"/>
          <w:sz w:val="24"/>
          <w:szCs w:val="24"/>
        </w:rPr>
      </w:pPr>
      <w:r>
        <w:rPr>
          <w:rFonts w:hint="eastAsia" w:ascii="仿宋" w:hAnsi="仿宋" w:eastAsia="仿宋" w:cs="仿宋"/>
          <w:sz w:val="28"/>
          <w:szCs w:val="28"/>
        </w:rPr>
        <w:t>监控功能</w:t>
      </w:r>
    </w:p>
    <w:tbl>
      <w:tblPr>
        <w:tblStyle w:val="32"/>
        <w:tblW w:w="8557" w:type="dxa"/>
        <w:tblInd w:w="0" w:type="dxa"/>
        <w:tblLayout w:type="fixed"/>
        <w:tblCellMar>
          <w:top w:w="15" w:type="dxa"/>
          <w:left w:w="15" w:type="dxa"/>
          <w:bottom w:w="15" w:type="dxa"/>
          <w:right w:w="15" w:type="dxa"/>
        </w:tblCellMar>
      </w:tblPr>
      <w:tblGrid>
        <w:gridCol w:w="2220"/>
        <w:gridCol w:w="6337"/>
      </w:tblGrid>
      <w:tr>
        <w:tblPrEx>
          <w:tblLayout w:type="fixed"/>
          <w:tblCellMar>
            <w:top w:w="15" w:type="dxa"/>
            <w:left w:w="15" w:type="dxa"/>
            <w:bottom w:w="15" w:type="dxa"/>
            <w:right w:w="15" w:type="dxa"/>
          </w:tblCellMar>
        </w:tblPrEx>
        <w:trPr>
          <w:trHeight w:val="285" w:hRule="atLeast"/>
        </w:trPr>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功能点</w:t>
            </w:r>
          </w:p>
        </w:tc>
        <w:tc>
          <w:tcPr>
            <w:tcW w:w="6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功能描述</w:t>
            </w:r>
          </w:p>
        </w:tc>
      </w:tr>
      <w:tr>
        <w:tblPrEx>
          <w:tblLayout w:type="fixed"/>
          <w:tblCellMar>
            <w:top w:w="15" w:type="dxa"/>
            <w:left w:w="15" w:type="dxa"/>
            <w:bottom w:w="15" w:type="dxa"/>
            <w:right w:w="15" w:type="dxa"/>
          </w:tblCellMar>
        </w:tblPrEx>
        <w:trPr>
          <w:trHeight w:val="540" w:hRule="atLeast"/>
        </w:trPr>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监控对象</w:t>
            </w:r>
          </w:p>
        </w:tc>
        <w:tc>
          <w:tcPr>
            <w:tcW w:w="63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具备对操作系统支持多维度监控能力，如：Linux、AIX、Windows</w:t>
            </w:r>
            <w:r>
              <w:rPr>
                <w:rFonts w:hint="eastAsia" w:ascii="仿宋" w:hAnsi="仿宋" w:eastAsia="仿宋" w:cs="仿宋"/>
                <w:color w:val="000000"/>
                <w:kern w:val="0"/>
                <w:sz w:val="24"/>
                <w:szCs w:val="24"/>
                <w:lang w:eastAsia="zh-CN"/>
              </w:rPr>
              <w:t>、国产操作系统</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主要包括：</w:t>
            </w:r>
          </w:p>
          <w:p>
            <w:pPr>
              <w:widowControl/>
              <w:numPr>
                <w:ilvl w:val="0"/>
                <w:numId w:val="27"/>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ping: 状态</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2.CPU：使用率，load average,await</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3.内存: 使用率，剩余大小</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4.文件系统： 使用率/剩余空间</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Inode</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5.磁盘：I/O</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6.端口: 特殊端口监控</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7.进程：指定进程状态、进程数量</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8.网络带宽：网络带宽使用率</w:t>
            </w:r>
          </w:p>
          <w:p>
            <w:pPr>
              <w:widowControl/>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9.</w:t>
            </w:r>
            <w:r>
              <w:rPr>
                <w:rFonts w:hint="eastAsia" w:ascii="仿宋" w:hAnsi="仿宋" w:eastAsia="仿宋" w:cs="仿宋"/>
                <w:color w:val="000000"/>
                <w:kern w:val="0"/>
                <w:sz w:val="24"/>
                <w:szCs w:val="24"/>
                <w:lang w:eastAsia="zh-CN"/>
              </w:rPr>
              <w:t>支持主流</w:t>
            </w:r>
            <w:r>
              <w:rPr>
                <w:rFonts w:hint="eastAsia" w:ascii="仿宋" w:hAnsi="仿宋" w:eastAsia="仿宋" w:cs="仿宋"/>
                <w:color w:val="000000"/>
                <w:kern w:val="0"/>
                <w:sz w:val="24"/>
                <w:szCs w:val="24"/>
              </w:rPr>
              <w:t>中间件监控</w:t>
            </w:r>
            <w:r>
              <w:rPr>
                <w:rFonts w:hint="eastAsia" w:ascii="仿宋" w:hAnsi="仿宋" w:eastAsia="仿宋" w:cs="仿宋"/>
                <w:color w:val="000000"/>
                <w:kern w:val="0"/>
                <w:sz w:val="24"/>
                <w:szCs w:val="24"/>
                <w:lang w:eastAsia="zh-CN"/>
              </w:rPr>
              <w:t>和国产中间件监控</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10.支持对存储的监控能力</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11.支持对信创</w:t>
            </w:r>
            <w:r>
              <w:rPr>
                <w:rFonts w:hint="eastAsia" w:ascii="仿宋" w:hAnsi="仿宋" w:eastAsia="仿宋" w:cs="仿宋"/>
                <w:color w:val="000000"/>
                <w:kern w:val="0"/>
                <w:sz w:val="24"/>
                <w:szCs w:val="24"/>
                <w:lang w:val="en-US" w:eastAsia="zh-CN"/>
              </w:rPr>
              <w:t>类产品</w:t>
            </w:r>
            <w:r>
              <w:rPr>
                <w:rFonts w:hint="eastAsia" w:ascii="仿宋" w:hAnsi="仿宋" w:eastAsia="仿宋" w:cs="仿宋"/>
                <w:color w:val="000000"/>
                <w:kern w:val="0"/>
                <w:sz w:val="24"/>
                <w:szCs w:val="24"/>
              </w:rPr>
              <w:t>相关的监控</w:t>
            </w:r>
          </w:p>
        </w:tc>
      </w:tr>
      <w:tr>
        <w:tblPrEx>
          <w:tblLayout w:type="fixed"/>
          <w:tblCellMar>
            <w:top w:w="15" w:type="dxa"/>
            <w:left w:w="15" w:type="dxa"/>
            <w:bottom w:w="15" w:type="dxa"/>
            <w:right w:w="15" w:type="dxa"/>
          </w:tblCellMar>
        </w:tblPrEx>
        <w:trPr>
          <w:trHeight w:val="540" w:hRule="atLeast"/>
        </w:trPr>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监控阈值</w:t>
            </w:r>
          </w:p>
        </w:tc>
        <w:tc>
          <w:tcPr>
            <w:tcW w:w="63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8"/>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支持全局模板，支持分组模板，支持灵活的自定义监控模板；</w:t>
            </w:r>
          </w:p>
          <w:p>
            <w:pPr>
              <w:widowControl/>
              <w:numPr>
                <w:ilvl w:val="0"/>
                <w:numId w:val="28"/>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监控阈值合理</w:t>
            </w:r>
            <w:r>
              <w:rPr>
                <w:rFonts w:hint="eastAsia" w:ascii="仿宋" w:hAnsi="仿宋" w:eastAsia="仿宋" w:cs="仿宋"/>
                <w:color w:val="000000"/>
                <w:kern w:val="0"/>
                <w:sz w:val="24"/>
                <w:szCs w:val="24"/>
                <w:lang w:eastAsia="zh-CN"/>
              </w:rPr>
              <w:t>性</w:t>
            </w:r>
            <w:r>
              <w:rPr>
                <w:rFonts w:hint="eastAsia" w:ascii="仿宋" w:hAnsi="仿宋" w:eastAsia="仿宋" w:cs="仿宋"/>
                <w:color w:val="000000"/>
                <w:kern w:val="0"/>
                <w:sz w:val="24"/>
                <w:szCs w:val="24"/>
              </w:rPr>
              <w:t>、普适性</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3.针对特殊对象，支持</w:t>
            </w:r>
            <w:r>
              <w:rPr>
                <w:rFonts w:hint="eastAsia" w:ascii="仿宋" w:hAnsi="仿宋" w:eastAsia="仿宋" w:cs="仿宋"/>
                <w:color w:val="000000"/>
                <w:kern w:val="0"/>
                <w:sz w:val="24"/>
                <w:szCs w:val="24"/>
                <w:lang w:eastAsia="zh-CN"/>
              </w:rPr>
              <w:t>特</w:t>
            </w:r>
            <w:r>
              <w:rPr>
                <w:rFonts w:hint="eastAsia" w:ascii="仿宋" w:hAnsi="仿宋" w:eastAsia="仿宋" w:cs="仿宋"/>
                <w:color w:val="000000"/>
                <w:kern w:val="0"/>
                <w:sz w:val="24"/>
                <w:szCs w:val="24"/>
              </w:rPr>
              <w:t>定类别告警阈值调高或忽略（如：CPU、文件系统）；</w:t>
            </w:r>
          </w:p>
        </w:tc>
      </w:tr>
      <w:tr>
        <w:tblPrEx>
          <w:tblLayout w:type="fixed"/>
          <w:tblCellMar>
            <w:top w:w="15" w:type="dxa"/>
            <w:left w:w="15" w:type="dxa"/>
            <w:bottom w:w="15" w:type="dxa"/>
            <w:right w:w="15" w:type="dxa"/>
          </w:tblCellMar>
        </w:tblPrEx>
        <w:trPr>
          <w:trHeight w:val="540" w:hRule="atLeast"/>
        </w:trPr>
        <w:tc>
          <w:tcPr>
            <w:tcW w:w="2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性能数据</w:t>
            </w:r>
          </w:p>
        </w:tc>
        <w:tc>
          <w:tcPr>
            <w:tcW w:w="63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1.具备存档性能数据能力，存放期限半年以上，并可自动清理过期数据；</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2.支持性能查询，可以同时查询多台设备的性能数据，展示曲线，并可以图表导出。</w:t>
            </w:r>
          </w:p>
        </w:tc>
      </w:tr>
    </w:tbl>
    <w:p>
      <w:pPr>
        <w:numPr>
          <w:ilvl w:val="0"/>
          <w:numId w:val="0"/>
        </w:numPr>
        <w:rPr>
          <w:rFonts w:hint="eastAsia" w:ascii="仿宋" w:hAnsi="仿宋" w:eastAsia="仿宋" w:cs="仿宋"/>
          <w:sz w:val="24"/>
          <w:szCs w:val="24"/>
        </w:rPr>
      </w:pPr>
    </w:p>
    <w:p>
      <w:pPr>
        <w:numPr>
          <w:ilvl w:val="0"/>
          <w:numId w:val="24"/>
        </w:numPr>
        <w:rPr>
          <w:rFonts w:hint="eastAsia" w:ascii="仿宋" w:hAnsi="仿宋" w:eastAsia="仿宋" w:cs="仿宋"/>
          <w:sz w:val="24"/>
          <w:szCs w:val="24"/>
        </w:rPr>
      </w:pPr>
      <w:r>
        <w:rPr>
          <w:rFonts w:hint="eastAsia" w:ascii="仿宋" w:hAnsi="仿宋" w:eastAsia="仿宋" w:cs="仿宋"/>
          <w:sz w:val="28"/>
          <w:szCs w:val="28"/>
        </w:rPr>
        <w:t>前端功能</w:t>
      </w:r>
    </w:p>
    <w:tbl>
      <w:tblPr>
        <w:tblStyle w:val="32"/>
        <w:tblW w:w="8582" w:type="dxa"/>
        <w:tblInd w:w="0" w:type="dxa"/>
        <w:tblLayout w:type="fixed"/>
        <w:tblCellMar>
          <w:top w:w="15" w:type="dxa"/>
          <w:left w:w="15" w:type="dxa"/>
          <w:bottom w:w="15" w:type="dxa"/>
          <w:right w:w="15" w:type="dxa"/>
        </w:tblCellMar>
      </w:tblPr>
      <w:tblGrid>
        <w:gridCol w:w="1589"/>
        <w:gridCol w:w="1935"/>
        <w:gridCol w:w="5058"/>
      </w:tblGrid>
      <w:tr>
        <w:tblPrEx>
          <w:tblLayout w:type="fixed"/>
          <w:tblCellMar>
            <w:top w:w="15" w:type="dxa"/>
            <w:left w:w="15" w:type="dxa"/>
            <w:bottom w:w="15" w:type="dxa"/>
            <w:right w:w="15" w:type="dxa"/>
          </w:tblCellMar>
        </w:tblPrEx>
        <w:trPr>
          <w:trHeight w:val="285" w:hRule="atLeast"/>
        </w:trPr>
        <w:tc>
          <w:tcPr>
            <w:tcW w:w="1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功能项/模块</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具体功能点</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功能描述</w:t>
            </w:r>
          </w:p>
        </w:tc>
      </w:tr>
      <w:tr>
        <w:tblPrEx>
          <w:tblLayout w:type="fixed"/>
          <w:tblCellMar>
            <w:top w:w="15" w:type="dxa"/>
            <w:left w:w="15" w:type="dxa"/>
            <w:bottom w:w="15" w:type="dxa"/>
            <w:right w:w="15" w:type="dxa"/>
          </w:tblCellMar>
        </w:tblPrEx>
        <w:trPr>
          <w:trHeight w:val="810" w:hRule="atLeast"/>
        </w:trPr>
        <w:tc>
          <w:tcPr>
            <w:tcW w:w="1589" w:type="dxa"/>
            <w:vMerge w:val="restart"/>
            <w:tcBorders>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人员管理</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人员信息维护</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9"/>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支持人员的新增、维护、停用及删除，</w:t>
            </w:r>
          </w:p>
          <w:p>
            <w:pPr>
              <w:widowControl/>
              <w:numPr>
                <w:ilvl w:val="0"/>
                <w:numId w:val="29"/>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支持单个/批量维护，维护字段包括工号、姓名、归属机构、角色、属组、权限等字段；</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3.支持密码修改/重置等基础功能维护</w:t>
            </w:r>
          </w:p>
        </w:tc>
      </w:tr>
      <w:tr>
        <w:tblPrEx>
          <w:tblLayout w:type="fixed"/>
          <w:tblCellMar>
            <w:top w:w="15" w:type="dxa"/>
            <w:left w:w="15" w:type="dxa"/>
            <w:bottom w:w="15" w:type="dxa"/>
            <w:right w:w="15" w:type="dxa"/>
          </w:tblCellMar>
        </w:tblPrEx>
        <w:trPr>
          <w:trHeight w:val="810" w:hRule="atLeast"/>
        </w:trPr>
        <w:tc>
          <w:tcPr>
            <w:tcW w:w="1589" w:type="dxa"/>
            <w:vMerge w:val="continue"/>
            <w:tcBorders>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人员角色维护</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1.支持角色的新增、维护及删除</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2.支持角色菜单的新增、维护及删除</w:t>
            </w:r>
          </w:p>
        </w:tc>
      </w:tr>
      <w:tr>
        <w:tblPrEx>
          <w:tblLayout w:type="fixed"/>
          <w:tblCellMar>
            <w:top w:w="15" w:type="dxa"/>
            <w:left w:w="15" w:type="dxa"/>
            <w:bottom w:w="15" w:type="dxa"/>
            <w:right w:w="15" w:type="dxa"/>
          </w:tblCellMar>
        </w:tblPrEx>
        <w:trPr>
          <w:trHeight w:val="810" w:hRule="atLeast"/>
        </w:trPr>
        <w:tc>
          <w:tcPr>
            <w:tcW w:w="1589" w:type="dxa"/>
            <w:vMerge w:val="continue"/>
            <w:tcBorders>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人员权限维护</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0"/>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支持给不同角色及岗位，配置不同权限，可对用户可访问页面灵活规划调整；</w:t>
            </w:r>
          </w:p>
          <w:p>
            <w:pPr>
              <w:widowControl/>
              <w:numPr>
                <w:ilvl w:val="0"/>
                <w:numId w:val="30"/>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支持角色菜单式配置，也支持部分功能模块的单独开放/取消配置；</w:t>
            </w:r>
          </w:p>
          <w:p>
            <w:pPr>
              <w:widowControl/>
              <w:numPr>
                <w:ilvl w:val="0"/>
                <w:numId w:val="30"/>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支持用户查看相关类别告警，或指派告警；</w:t>
            </w:r>
          </w:p>
          <w:p>
            <w:pPr>
              <w:widowControl/>
              <w:numPr>
                <w:ilvl w:val="0"/>
                <w:numId w:val="30"/>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支持指定用户访问特殊类别告警（24小时值班、监管帐号）</w:t>
            </w:r>
          </w:p>
        </w:tc>
      </w:tr>
      <w:tr>
        <w:tblPrEx>
          <w:tblLayout w:type="fixed"/>
          <w:tblCellMar>
            <w:top w:w="15" w:type="dxa"/>
            <w:left w:w="15" w:type="dxa"/>
            <w:bottom w:w="15" w:type="dxa"/>
            <w:right w:w="15" w:type="dxa"/>
          </w:tblCellMar>
        </w:tblPrEx>
        <w:trPr>
          <w:trHeight w:val="305" w:hRule="atLeast"/>
        </w:trPr>
        <w:tc>
          <w:tcPr>
            <w:tcW w:w="1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配置项管理</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配置项管理、维护</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支持监控对象的新增、删除及维护，根据种类分类，如：</w:t>
            </w:r>
            <w:r>
              <w:rPr>
                <w:rFonts w:hint="eastAsia" w:ascii="仿宋" w:hAnsi="仿宋" w:eastAsia="仿宋" w:cs="仿宋"/>
                <w:color w:val="000000"/>
                <w:kern w:val="0"/>
                <w:sz w:val="24"/>
                <w:szCs w:val="24"/>
                <w:lang w:eastAsia="zh-CN"/>
              </w:rPr>
              <w:t>操作系统</w:t>
            </w:r>
            <w:r>
              <w:rPr>
                <w:rFonts w:hint="eastAsia" w:ascii="仿宋" w:hAnsi="仿宋" w:eastAsia="仿宋" w:cs="仿宋"/>
                <w:color w:val="000000"/>
                <w:kern w:val="0"/>
                <w:sz w:val="24"/>
                <w:szCs w:val="24"/>
              </w:rPr>
              <w:t>、中间件、数据库、第三方应用等</w:t>
            </w:r>
          </w:p>
          <w:p>
            <w:pPr>
              <w:widowControl/>
              <w:numPr>
                <w:ilvl w:val="0"/>
                <w:numId w:val="31"/>
              </w:numP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可实现与行内CMDB系统的同步；</w:t>
            </w:r>
          </w:p>
          <w:p>
            <w:pPr>
              <w:widowControl/>
              <w:numPr>
                <w:ilvl w:val="0"/>
                <w:numId w:val="31"/>
              </w:numP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支持单个/批量维护；</w:t>
            </w:r>
          </w:p>
          <w:p>
            <w:pPr>
              <w:widowControl/>
              <w:numPr>
                <w:ilvl w:val="0"/>
                <w:numId w:val="31"/>
              </w:numP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支持配置项的自主发现能力；</w:t>
            </w:r>
          </w:p>
          <w:p>
            <w:pPr>
              <w:widowControl/>
              <w:numPr>
                <w:ilvl w:val="0"/>
                <w:numId w:val="31"/>
              </w:numP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支持至少三级的机构层级设置，并支持新增、维护及删除</w:t>
            </w:r>
          </w:p>
          <w:p>
            <w:pPr>
              <w:widowControl/>
              <w:numPr>
                <w:ilvl w:val="0"/>
                <w:numId w:val="31"/>
              </w:numP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支持维护配置项的联系人/组</w:t>
            </w:r>
          </w:p>
        </w:tc>
      </w:tr>
      <w:tr>
        <w:tblPrEx>
          <w:tblLayout w:type="fixed"/>
          <w:tblCellMar>
            <w:top w:w="15" w:type="dxa"/>
            <w:left w:w="15" w:type="dxa"/>
            <w:bottom w:w="15" w:type="dxa"/>
            <w:right w:w="15" w:type="dxa"/>
          </w:tblCellMar>
        </w:tblPrEx>
        <w:trPr>
          <w:trHeight w:val="305" w:hRule="atLeast"/>
        </w:trPr>
        <w:tc>
          <w:tcPr>
            <w:tcW w:w="158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可视化</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运维大屏</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支持运维监控大屏，</w:t>
            </w:r>
            <w:r>
              <w:rPr>
                <w:rFonts w:hint="eastAsia" w:ascii="仿宋" w:hAnsi="仿宋" w:eastAsia="仿宋" w:cs="仿宋"/>
                <w:color w:val="000000"/>
                <w:kern w:val="0"/>
                <w:sz w:val="24"/>
                <w:szCs w:val="24"/>
                <w:lang w:eastAsia="zh-CN"/>
              </w:rPr>
              <w:t>供</w:t>
            </w:r>
            <w:r>
              <w:rPr>
                <w:rFonts w:hint="eastAsia" w:ascii="仿宋" w:hAnsi="仿宋" w:eastAsia="仿宋" w:cs="仿宋"/>
                <w:color w:val="000000"/>
                <w:kern w:val="0"/>
                <w:sz w:val="24"/>
                <w:szCs w:val="24"/>
              </w:rPr>
              <w:t>运维人员使用，有告警详细信息；</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支持综合告警大屏，展示各类告警分布等信息</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 准确显示</w:t>
            </w:r>
            <w:r>
              <w:rPr>
                <w:rFonts w:hint="eastAsia" w:ascii="仿宋" w:hAnsi="仿宋" w:eastAsia="仿宋" w:cs="仿宋"/>
                <w:color w:val="000000"/>
                <w:kern w:val="0"/>
                <w:sz w:val="24"/>
                <w:szCs w:val="24"/>
                <w:lang w:eastAsia="zh-CN"/>
              </w:rPr>
              <w:t>现</w:t>
            </w:r>
            <w:r>
              <w:rPr>
                <w:rFonts w:hint="eastAsia" w:ascii="仿宋" w:hAnsi="仿宋" w:eastAsia="仿宋" w:cs="仿宋"/>
                <w:color w:val="000000"/>
                <w:kern w:val="0"/>
                <w:sz w:val="24"/>
                <w:szCs w:val="24"/>
              </w:rPr>
              <w:t>存的告警分类统计展示；</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 具有现存告警列表；</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 按照告警类别进行周期性告警数量视图；</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 对每一类视图进行钻取，点击进入到具体内容；</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 支持纳管监控对象数量统计；</w:t>
            </w:r>
          </w:p>
        </w:tc>
      </w:tr>
      <w:tr>
        <w:tblPrEx>
          <w:tblLayout w:type="fixed"/>
          <w:tblCellMar>
            <w:top w:w="15" w:type="dxa"/>
            <w:left w:w="15" w:type="dxa"/>
            <w:bottom w:w="15" w:type="dxa"/>
            <w:right w:w="15" w:type="dxa"/>
          </w:tblCellMar>
        </w:tblPrEx>
        <w:trPr>
          <w:trHeight w:val="305" w:hRule="atLeast"/>
        </w:trPr>
        <w:tc>
          <w:tcPr>
            <w:tcW w:w="158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监控告警配置</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支持可视化管理大部分监控告警管理配置；</w:t>
            </w:r>
          </w:p>
        </w:tc>
      </w:tr>
      <w:tr>
        <w:tblPrEx>
          <w:tblLayout w:type="fixed"/>
          <w:tblCellMar>
            <w:top w:w="15" w:type="dxa"/>
            <w:left w:w="15" w:type="dxa"/>
            <w:bottom w:w="15" w:type="dxa"/>
            <w:right w:w="15" w:type="dxa"/>
          </w:tblCellMar>
        </w:tblPrEx>
        <w:trPr>
          <w:trHeight w:val="810" w:hRule="atLeast"/>
        </w:trPr>
        <w:tc>
          <w:tcPr>
            <w:tcW w:w="158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告警管理</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告警类别过滤</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支持以可视化表单过滤显示不同类别告警（如系统、网络、数据库等），提升使用便捷性；</w:t>
            </w:r>
          </w:p>
        </w:tc>
      </w:tr>
      <w:tr>
        <w:tblPrEx>
          <w:tblLayout w:type="fixed"/>
          <w:tblCellMar>
            <w:top w:w="15" w:type="dxa"/>
            <w:left w:w="15" w:type="dxa"/>
            <w:bottom w:w="15" w:type="dxa"/>
            <w:right w:w="15" w:type="dxa"/>
          </w:tblCellMar>
        </w:tblPrEx>
        <w:trPr>
          <w:trHeight w:val="810" w:hRule="atLeast"/>
        </w:trPr>
        <w:tc>
          <w:tcPr>
            <w:tcW w:w="1589" w:type="dxa"/>
            <w:vMerge w:val="continue"/>
            <w:tcBorders>
              <w:left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告警事件跟踪</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以事件为单位对告警信息进行跟踪，包括告警状态</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处理进度、处理人员、处置方式等，并提供导出和报表展示功能。</w:t>
            </w:r>
          </w:p>
        </w:tc>
      </w:tr>
      <w:tr>
        <w:tblPrEx>
          <w:tblLayout w:type="fixed"/>
          <w:tblCellMar>
            <w:top w:w="15" w:type="dxa"/>
            <w:left w:w="15" w:type="dxa"/>
            <w:bottom w:w="15" w:type="dxa"/>
            <w:right w:w="15" w:type="dxa"/>
          </w:tblCellMar>
        </w:tblPrEx>
        <w:trPr>
          <w:trHeight w:val="285" w:hRule="atLeast"/>
        </w:trPr>
        <w:tc>
          <w:tcPr>
            <w:tcW w:w="1589" w:type="dxa"/>
            <w:vMerge w:val="continue"/>
            <w:tcBorders>
              <w:left w:val="single" w:color="000000" w:sz="4" w:space="0"/>
              <w:right w:val="single" w:color="000000" w:sz="4" w:space="0"/>
            </w:tcBorders>
            <w:vAlign w:val="center"/>
          </w:tcPr>
          <w:p>
            <w:pPr>
              <w:jc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第三方告警接入</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支持集成第三方监控系统告警接入（syslog、SNMP、API等</w:t>
            </w:r>
            <w:r>
              <w:rPr>
                <w:rFonts w:hint="eastAsia" w:ascii="仿宋" w:hAnsi="仿宋" w:eastAsia="仿宋" w:cs="仿宋"/>
                <w:color w:val="000000"/>
                <w:kern w:val="0"/>
                <w:sz w:val="24"/>
                <w:szCs w:val="24"/>
                <w:lang w:eastAsia="zh-CN"/>
              </w:rPr>
              <w:t>方式</w:t>
            </w:r>
            <w:r>
              <w:rPr>
                <w:rFonts w:hint="eastAsia" w:ascii="仿宋" w:hAnsi="仿宋" w:eastAsia="仿宋" w:cs="仿宋"/>
                <w:color w:val="000000"/>
                <w:kern w:val="0"/>
                <w:sz w:val="24"/>
                <w:szCs w:val="24"/>
              </w:rPr>
              <w:t>），并能够进行分类查看告警内容，定义告警接收人员；</w:t>
            </w:r>
          </w:p>
        </w:tc>
      </w:tr>
      <w:tr>
        <w:tblPrEx>
          <w:tblLayout w:type="fixed"/>
          <w:tblCellMar>
            <w:top w:w="15" w:type="dxa"/>
            <w:left w:w="15" w:type="dxa"/>
            <w:bottom w:w="15" w:type="dxa"/>
            <w:right w:w="15" w:type="dxa"/>
          </w:tblCellMar>
        </w:tblPrEx>
        <w:trPr>
          <w:trHeight w:val="285" w:hRule="atLeast"/>
        </w:trPr>
        <w:tc>
          <w:tcPr>
            <w:tcW w:w="1589" w:type="dxa"/>
            <w:vMerge w:val="continue"/>
            <w:tcBorders>
              <w:left w:val="single" w:color="000000" w:sz="4" w:space="0"/>
              <w:right w:val="single" w:color="000000" w:sz="4" w:space="0"/>
            </w:tcBorders>
            <w:vAlign w:val="center"/>
          </w:tcPr>
          <w:p>
            <w:pPr>
              <w:jc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智能告警</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具备一定的AI分析能力，可根据历史数据对告警信息提供智能标签、运维建议等</w:t>
            </w:r>
          </w:p>
        </w:tc>
      </w:tr>
      <w:tr>
        <w:tblPrEx>
          <w:tblLayout w:type="fixed"/>
          <w:tblCellMar>
            <w:top w:w="15" w:type="dxa"/>
            <w:left w:w="15" w:type="dxa"/>
            <w:bottom w:w="15" w:type="dxa"/>
            <w:right w:w="15" w:type="dxa"/>
          </w:tblCellMar>
        </w:tblPrEx>
        <w:trPr>
          <w:trHeight w:val="631" w:hRule="atLeast"/>
        </w:trPr>
        <w:tc>
          <w:tcPr>
            <w:tcW w:w="1589" w:type="dxa"/>
            <w:vMerge w:val="continue"/>
            <w:tcBorders>
              <w:left w:val="single" w:color="000000" w:sz="4" w:space="0"/>
              <w:right w:val="single" w:color="000000" w:sz="4" w:space="0"/>
            </w:tcBorders>
            <w:vAlign w:val="center"/>
          </w:tcPr>
          <w:p>
            <w:pPr>
              <w:jc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告警收敛</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根据告警信息进行告警收敛，主要应用场景为：</w:t>
            </w:r>
          </w:p>
          <w:p>
            <w:pPr>
              <w:widowControl/>
              <w:numPr>
                <w:ilvl w:val="0"/>
                <w:numId w:val="32"/>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同一系统不同监控工具推送的告警合并为告警事件；</w:t>
            </w:r>
          </w:p>
          <w:p>
            <w:pPr>
              <w:widowControl/>
              <w:numPr>
                <w:ilvl w:val="0"/>
                <w:numId w:val="32"/>
              </w:numP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对同一系统短时间内</w:t>
            </w:r>
            <w:r>
              <w:rPr>
                <w:rFonts w:hint="eastAsia" w:ascii="仿宋" w:hAnsi="仿宋" w:eastAsia="仿宋" w:cs="仿宋"/>
                <w:color w:val="000000"/>
                <w:kern w:val="0"/>
                <w:sz w:val="24"/>
                <w:szCs w:val="24"/>
                <w:lang w:eastAsia="zh-CN"/>
              </w:rPr>
              <w:t>由</w:t>
            </w:r>
            <w:r>
              <w:rPr>
                <w:rFonts w:hint="eastAsia" w:ascii="仿宋" w:hAnsi="仿宋" w:eastAsia="仿宋" w:cs="仿宋"/>
                <w:color w:val="000000"/>
                <w:kern w:val="0"/>
                <w:sz w:val="24"/>
                <w:szCs w:val="24"/>
              </w:rPr>
              <w:t>同一监控工具推送的同类告警启停信息进行降噪。</w:t>
            </w:r>
          </w:p>
        </w:tc>
      </w:tr>
      <w:tr>
        <w:tblPrEx>
          <w:tblLayout w:type="fixed"/>
          <w:tblCellMar>
            <w:top w:w="15" w:type="dxa"/>
            <w:left w:w="15" w:type="dxa"/>
            <w:bottom w:w="15" w:type="dxa"/>
            <w:right w:w="15" w:type="dxa"/>
          </w:tblCellMar>
        </w:tblPrEx>
        <w:trPr>
          <w:trHeight w:val="631" w:hRule="atLeast"/>
        </w:trPr>
        <w:tc>
          <w:tcPr>
            <w:tcW w:w="1589"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告警数据</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具备存档</w:t>
            </w:r>
            <w:r>
              <w:rPr>
                <w:rFonts w:hint="eastAsia" w:ascii="仿宋" w:hAnsi="仿宋" w:eastAsia="仿宋" w:cs="仿宋"/>
                <w:color w:val="000000"/>
                <w:sz w:val="24"/>
                <w:szCs w:val="24"/>
                <w:lang w:eastAsia="zh-CN"/>
              </w:rPr>
              <w:t>告警</w:t>
            </w:r>
            <w:r>
              <w:rPr>
                <w:rFonts w:hint="eastAsia" w:ascii="仿宋" w:hAnsi="仿宋" w:eastAsia="仿宋" w:cs="仿宋"/>
                <w:color w:val="000000"/>
                <w:sz w:val="24"/>
                <w:szCs w:val="24"/>
              </w:rPr>
              <w:t>数据能力，存放期限</w:t>
            </w:r>
            <w:r>
              <w:rPr>
                <w:rFonts w:hint="eastAsia" w:ascii="仿宋" w:hAnsi="仿宋" w:eastAsia="仿宋" w:cs="仿宋"/>
                <w:color w:val="000000"/>
                <w:sz w:val="24"/>
                <w:szCs w:val="24"/>
                <w:lang w:eastAsia="zh-CN"/>
              </w:rPr>
              <w:t>两</w:t>
            </w:r>
            <w:r>
              <w:rPr>
                <w:rFonts w:hint="eastAsia" w:ascii="仿宋" w:hAnsi="仿宋" w:eastAsia="仿宋" w:cs="仿宋"/>
                <w:color w:val="000000"/>
                <w:sz w:val="24"/>
                <w:szCs w:val="24"/>
              </w:rPr>
              <w:t>年，并可自动清理过期数据；</w:t>
            </w:r>
          </w:p>
        </w:tc>
      </w:tr>
      <w:tr>
        <w:tblPrEx>
          <w:tblLayout w:type="fixed"/>
          <w:tblCellMar>
            <w:top w:w="15" w:type="dxa"/>
            <w:left w:w="15" w:type="dxa"/>
            <w:bottom w:w="15" w:type="dxa"/>
            <w:right w:w="15" w:type="dxa"/>
          </w:tblCellMar>
        </w:tblPrEx>
        <w:trPr>
          <w:trHeight w:val="285" w:hRule="atLeast"/>
        </w:trPr>
        <w:tc>
          <w:tcPr>
            <w:tcW w:w="1589"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告警通知</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通知方式</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告警通知支持短信、蓝信、邮件等方式；</w:t>
            </w:r>
          </w:p>
        </w:tc>
      </w:tr>
      <w:tr>
        <w:tblPrEx>
          <w:tblLayout w:type="fixed"/>
          <w:tblCellMar>
            <w:top w:w="15" w:type="dxa"/>
            <w:left w:w="15" w:type="dxa"/>
            <w:bottom w:w="15" w:type="dxa"/>
            <w:right w:w="15" w:type="dxa"/>
          </w:tblCellMar>
        </w:tblPrEx>
        <w:trPr>
          <w:trHeight w:val="285" w:hRule="atLeast"/>
        </w:trPr>
        <w:tc>
          <w:tcPr>
            <w:tcW w:w="1589" w:type="dxa"/>
            <w:vMerge w:val="continue"/>
            <w:tcBorders>
              <w:left w:val="single" w:color="000000" w:sz="4" w:space="0"/>
              <w:right w:val="single" w:color="000000" w:sz="4" w:space="0"/>
            </w:tcBorders>
            <w:vAlign w:val="center"/>
          </w:tcPr>
          <w:p>
            <w:pPr>
              <w:jc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联系人分组</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1.支持告警联系人分组；</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2.支持告警联系人以分组+个人的形式，并可以灵活调整</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显示通知顺序；</w:t>
            </w:r>
          </w:p>
        </w:tc>
      </w:tr>
      <w:tr>
        <w:tblPrEx>
          <w:tblLayout w:type="fixed"/>
          <w:tblCellMar>
            <w:top w:w="15" w:type="dxa"/>
            <w:left w:w="15" w:type="dxa"/>
            <w:bottom w:w="15" w:type="dxa"/>
            <w:right w:w="15" w:type="dxa"/>
          </w:tblCellMar>
        </w:tblPrEx>
        <w:trPr>
          <w:trHeight w:val="285" w:hRule="atLeast"/>
        </w:trPr>
        <w:tc>
          <w:tcPr>
            <w:tcW w:w="1589"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告警流转</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支持告警指派给处理人员</w:t>
            </w:r>
          </w:p>
        </w:tc>
      </w:tr>
      <w:tr>
        <w:tblPrEx>
          <w:tblLayout w:type="fixed"/>
          <w:tblCellMar>
            <w:top w:w="15" w:type="dxa"/>
            <w:left w:w="15" w:type="dxa"/>
            <w:bottom w:w="15" w:type="dxa"/>
            <w:right w:w="15" w:type="dxa"/>
          </w:tblCellMar>
        </w:tblPrEx>
        <w:trPr>
          <w:trHeight w:val="285" w:hRule="atLeast"/>
        </w:trPr>
        <w:tc>
          <w:tcPr>
            <w:tcW w:w="1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系统设置</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操作日志</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支持查询人员系统登录、操作、下载等操作日志信息</w:t>
            </w:r>
          </w:p>
        </w:tc>
      </w:tr>
      <w:tr>
        <w:tblPrEx>
          <w:tblLayout w:type="fixed"/>
          <w:tblCellMar>
            <w:top w:w="15" w:type="dxa"/>
            <w:left w:w="15" w:type="dxa"/>
            <w:bottom w:w="15" w:type="dxa"/>
            <w:right w:w="15" w:type="dxa"/>
          </w:tblCellMar>
        </w:tblPrEx>
        <w:trPr>
          <w:trHeight w:val="393"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数据报表</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数据统计</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3"/>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支持从告警类别、告警来源、告警周期等多维度统计告警情况</w:t>
            </w:r>
          </w:p>
          <w:p>
            <w:pPr>
              <w:widowControl/>
              <w:numPr>
                <w:ilvl w:val="0"/>
                <w:numId w:val="33"/>
              </w:numPr>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支持查询具体告警时间报表，触发</w:t>
            </w:r>
            <w:r>
              <w:rPr>
                <w:rFonts w:hint="eastAsia" w:ascii="仿宋" w:hAnsi="仿宋" w:eastAsia="仿宋" w:cs="仿宋"/>
                <w:color w:val="000000"/>
                <w:kern w:val="0"/>
                <w:sz w:val="24"/>
                <w:szCs w:val="24"/>
                <w:lang w:eastAsia="zh-CN"/>
              </w:rPr>
              <w:t>时间</w:t>
            </w:r>
            <w:r>
              <w:rPr>
                <w:rFonts w:hint="eastAsia" w:ascii="仿宋" w:hAnsi="仿宋" w:eastAsia="仿宋" w:cs="仿宋"/>
                <w:color w:val="000000"/>
                <w:kern w:val="0"/>
                <w:sz w:val="24"/>
                <w:szCs w:val="24"/>
              </w:rPr>
              <w:t>、恢复时间、发生次数等；</w:t>
            </w:r>
          </w:p>
          <w:p>
            <w:pPr>
              <w:widowControl/>
              <w:numPr>
                <w:ilvl w:val="0"/>
                <w:numId w:val="33"/>
              </w:numP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支持对周期内分类告警的TOP列表、展示；</w:t>
            </w:r>
          </w:p>
          <w:p>
            <w:pPr>
              <w:widowControl/>
              <w:numPr>
                <w:ilvl w:val="0"/>
                <w:numId w:val="33"/>
              </w:numP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支持按行内需求设计、开发报表</w:t>
            </w:r>
          </w:p>
        </w:tc>
      </w:tr>
      <w:tr>
        <w:tblPrEx>
          <w:tblLayout w:type="fixed"/>
          <w:tblCellMar>
            <w:top w:w="15" w:type="dxa"/>
            <w:left w:w="15" w:type="dxa"/>
            <w:bottom w:w="15" w:type="dxa"/>
            <w:right w:w="15" w:type="dxa"/>
          </w:tblCellMar>
        </w:tblPrEx>
        <w:trPr>
          <w:trHeight w:val="285"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报表导出</w:t>
            </w:r>
          </w:p>
        </w:tc>
        <w:tc>
          <w:tcPr>
            <w:tcW w:w="50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支持数据报表的导出</w:t>
            </w:r>
          </w:p>
        </w:tc>
      </w:tr>
    </w:tbl>
    <w:p>
      <w:pPr>
        <w:numPr>
          <w:ilvl w:val="0"/>
          <w:numId w:val="0"/>
        </w:numPr>
        <w:rPr>
          <w:rFonts w:hint="eastAsia" w:ascii="仿宋" w:hAnsi="仿宋" w:eastAsia="仿宋" w:cs="仿宋"/>
          <w:sz w:val="24"/>
          <w:szCs w:val="24"/>
        </w:rPr>
      </w:pPr>
    </w:p>
    <w:p>
      <w:pPr>
        <w:numPr>
          <w:ilvl w:val="0"/>
          <w:numId w:val="24"/>
        </w:numPr>
        <w:rPr>
          <w:rFonts w:hint="eastAsia" w:ascii="仿宋" w:hAnsi="仿宋" w:eastAsia="仿宋" w:cs="仿宋"/>
          <w:sz w:val="28"/>
          <w:szCs w:val="28"/>
        </w:rPr>
      </w:pPr>
      <w:r>
        <w:rPr>
          <w:rFonts w:hint="eastAsia" w:ascii="仿宋" w:hAnsi="仿宋" w:eastAsia="仿宋" w:cs="仿宋"/>
          <w:sz w:val="28"/>
          <w:szCs w:val="28"/>
          <w:lang w:eastAsia="zh-CN"/>
        </w:rPr>
        <w:t>项目实施需求</w:t>
      </w:r>
    </w:p>
    <w:p>
      <w:pPr>
        <w:numPr>
          <w:ilvl w:val="0"/>
          <w:numId w:val="0"/>
        </w:numPr>
        <w:ind w:firstLine="420" w:firstLineChars="0"/>
        <w:rPr>
          <w:rFonts w:hint="eastAsia" w:ascii="仿宋" w:hAnsi="仿宋" w:eastAsia="仿宋" w:cs="仿宋"/>
          <w:b/>
          <w:bCs/>
          <w:sz w:val="24"/>
          <w:szCs w:val="24"/>
        </w:rPr>
      </w:pPr>
      <w:r>
        <w:rPr>
          <w:rFonts w:hint="eastAsia" w:ascii="仿宋" w:hAnsi="仿宋" w:eastAsia="仿宋" w:cs="仿宋"/>
          <w:sz w:val="24"/>
          <w:szCs w:val="24"/>
          <w:lang w:val="en-US" w:eastAsia="zh-CN"/>
        </w:rPr>
        <w:t>我行现有第三方监控子系统告警接口功能迁移，存量告警数据、性能数据迁移。</w:t>
      </w:r>
      <w:r>
        <w:rPr>
          <w:rFonts w:hint="eastAsia" w:ascii="仿宋" w:hAnsi="仿宋" w:eastAsia="仿宋" w:cs="仿宋"/>
          <w:b/>
          <w:bCs/>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1、投标产品应提供多法人解决方案，包括但不限于招标方兴福系投资管理行及村镇银行等多法人模式。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3、投标产品涉及相关系统单元测试覆盖率应达到60%以上，覆盖率测算数据由招标方提供。</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4、投标方应在产品上线后提供</w:t>
      </w:r>
      <w:r>
        <w:rPr>
          <w:rFonts w:hint="eastAsia" w:ascii="仿宋" w:hAnsi="仿宋" w:eastAsia="仿宋" w:cs="仿宋"/>
          <w:sz w:val="28"/>
          <w:szCs w:val="28"/>
          <w:highlight w:val="none"/>
          <w:lang w:val="en-US" w:eastAsia="zh-CN"/>
        </w:rPr>
        <w:t>合同约定范围内的全部源码（含</w:t>
      </w:r>
      <w:r>
        <w:rPr>
          <w:rFonts w:hint="eastAsia" w:ascii="仿宋" w:hAnsi="仿宋" w:eastAsia="仿宋" w:cs="仿宋"/>
          <w:sz w:val="28"/>
          <w:szCs w:val="28"/>
          <w:lang w:val="en-US" w:eastAsia="zh-CN"/>
        </w:rPr>
        <w:t>必须的代码注释）、项目文档（包括但不限于技术白皮书、需求文档、设计（数据库、接口）文档、部署手册、维护手册）等。</w:t>
      </w:r>
    </w:p>
    <w:p>
      <w:pPr>
        <w:numPr>
          <w:ilvl w:val="0"/>
          <w:numId w:val="0"/>
        </w:numPr>
        <w:spacing w:beforeLines="0" w:after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投标方</w:t>
      </w:r>
      <w:r>
        <w:rPr>
          <w:rFonts w:hint="eastAsia" w:ascii="仿宋" w:hAnsi="仿宋" w:eastAsia="仿宋" w:cs="仿宋"/>
          <w:sz w:val="28"/>
          <w:szCs w:val="28"/>
        </w:rPr>
        <w:t>提供产品</w:t>
      </w:r>
      <w:r>
        <w:rPr>
          <w:rFonts w:hint="eastAsia" w:ascii="仿宋" w:hAnsi="仿宋" w:eastAsia="仿宋" w:cs="仿宋"/>
          <w:sz w:val="28"/>
          <w:szCs w:val="28"/>
          <w:lang w:eastAsia="zh-CN"/>
        </w:rPr>
        <w:t>或</w:t>
      </w:r>
      <w:r>
        <w:rPr>
          <w:rFonts w:hint="eastAsia" w:ascii="仿宋" w:hAnsi="仿宋" w:eastAsia="仿宋" w:cs="仿宋"/>
          <w:sz w:val="28"/>
          <w:szCs w:val="28"/>
        </w:rPr>
        <w:t>服务中涉及</w:t>
      </w:r>
      <w:r>
        <w:rPr>
          <w:rFonts w:hint="eastAsia" w:ascii="仿宋" w:hAnsi="仿宋" w:eastAsia="仿宋" w:cs="仿宋"/>
          <w:sz w:val="28"/>
          <w:szCs w:val="28"/>
          <w:lang w:eastAsia="zh-CN"/>
        </w:rPr>
        <w:t>包括但不限于</w:t>
      </w:r>
      <w:r>
        <w:rPr>
          <w:rFonts w:hint="eastAsia" w:ascii="仿宋" w:hAnsi="仿宋" w:eastAsia="仿宋" w:cs="仿宋"/>
          <w:sz w:val="28"/>
          <w:szCs w:val="28"/>
        </w:rPr>
        <w:t>第三方软件</w:t>
      </w:r>
      <w:r>
        <w:rPr>
          <w:rFonts w:hint="eastAsia" w:ascii="仿宋" w:hAnsi="仿宋" w:eastAsia="仿宋" w:cs="仿宋"/>
          <w:sz w:val="28"/>
          <w:szCs w:val="28"/>
          <w:lang w:eastAsia="zh-CN"/>
        </w:rPr>
        <w:t>、第三方组件、插件、控件等，</w:t>
      </w:r>
      <w:r>
        <w:rPr>
          <w:rFonts w:hint="eastAsia" w:ascii="仿宋" w:hAnsi="仿宋" w:eastAsia="仿宋" w:cs="仿宋"/>
          <w:sz w:val="28"/>
          <w:szCs w:val="28"/>
          <w:lang w:val="en-US" w:eastAsia="zh-CN"/>
        </w:rPr>
        <w:t>应满足我行开源软件准入要求：</w:t>
      </w:r>
    </w:p>
    <w:p>
      <w:pPr>
        <w:numPr>
          <w:ilvl w:val="0"/>
          <w:numId w:val="0"/>
        </w:numPr>
        <w:spacing w:beforeLines="0" w:after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开源协议选择</w:t>
      </w:r>
      <w:r>
        <w:rPr>
          <w:rFonts w:hint="eastAsia" w:ascii="仿宋" w:hAnsi="仿宋" w:eastAsia="仿宋" w:cs="仿宋"/>
          <w:sz w:val="28"/>
          <w:szCs w:val="28"/>
          <w:lang w:eastAsia="zh-CN"/>
        </w:rPr>
        <w:t>：应</w:t>
      </w:r>
      <w:r>
        <w:rPr>
          <w:rFonts w:hint="eastAsia" w:ascii="仿宋" w:hAnsi="仿宋" w:eastAsia="仿宋" w:cs="仿宋"/>
          <w:sz w:val="28"/>
          <w:szCs w:val="28"/>
        </w:rPr>
        <w:t>选择较为宽松的许可证，即当开源软件被修改并再发行时，不要求公开源代码，常用协议为MIT、BSD、Apache。</w:t>
      </w:r>
    </w:p>
    <w:p>
      <w:pPr>
        <w:numPr>
          <w:ilvl w:val="0"/>
          <w:numId w:val="0"/>
        </w:numPr>
        <w:spacing w:beforeLines="0" w:afterLines="0"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技术选型要求：开源软件技术选型应与</w:t>
      </w:r>
      <w:r>
        <w:rPr>
          <w:rFonts w:hint="eastAsia" w:ascii="仿宋" w:hAnsi="仿宋" w:eastAsia="仿宋" w:cs="仿宋"/>
          <w:sz w:val="28"/>
          <w:szCs w:val="28"/>
          <w:lang w:eastAsia="zh-CN"/>
        </w:rPr>
        <w:t>我行</w:t>
      </w:r>
      <w:r>
        <w:rPr>
          <w:rFonts w:hint="eastAsia" w:ascii="仿宋" w:hAnsi="仿宋" w:eastAsia="仿宋" w:cs="仿宋"/>
          <w:sz w:val="28"/>
          <w:szCs w:val="28"/>
        </w:rPr>
        <w:t>信息化建设方向一致，服务于</w:t>
      </w:r>
      <w:r>
        <w:rPr>
          <w:rFonts w:hint="eastAsia" w:ascii="仿宋" w:hAnsi="仿宋" w:eastAsia="仿宋" w:cs="仿宋"/>
          <w:sz w:val="28"/>
          <w:szCs w:val="28"/>
          <w:lang w:eastAsia="zh-CN"/>
        </w:rPr>
        <w:t>我行</w:t>
      </w:r>
      <w:r>
        <w:rPr>
          <w:rFonts w:hint="eastAsia" w:ascii="仿宋" w:hAnsi="仿宋" w:eastAsia="仿宋" w:cs="仿宋"/>
          <w:sz w:val="28"/>
          <w:szCs w:val="28"/>
        </w:rPr>
        <w:t>业务发展，方向包括：互联网、分布式、微服务、云计算、大数据、人工智能等</w:t>
      </w:r>
      <w:r>
        <w:rPr>
          <w:rFonts w:hint="eastAsia" w:ascii="仿宋" w:hAnsi="仿宋" w:eastAsia="仿宋" w:cs="仿宋"/>
          <w:sz w:val="28"/>
          <w:szCs w:val="28"/>
          <w:lang w:eastAsia="zh-CN"/>
        </w:rPr>
        <w:t>。</w:t>
      </w:r>
    </w:p>
    <w:p>
      <w:pPr>
        <w:numPr>
          <w:ilvl w:val="0"/>
          <w:numId w:val="0"/>
        </w:numPr>
        <w:spacing w:beforeLines="0" w:after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成熟度要求：</w:t>
      </w:r>
      <w:r>
        <w:rPr>
          <w:rFonts w:hint="eastAsia" w:ascii="仿宋" w:hAnsi="仿宋" w:eastAsia="仿宋" w:cs="仿宋"/>
          <w:sz w:val="28"/>
          <w:szCs w:val="28"/>
          <w:lang w:eastAsia="zh-CN"/>
        </w:rPr>
        <w:t>开源软件</w:t>
      </w:r>
      <w:r>
        <w:rPr>
          <w:rFonts w:hint="eastAsia" w:ascii="仿宋" w:hAnsi="仿宋" w:eastAsia="仿宋" w:cs="仿宋"/>
          <w:sz w:val="28"/>
          <w:szCs w:val="28"/>
        </w:rPr>
        <w:t>应使用业界公认成熟的开源软件</w:t>
      </w:r>
      <w:r>
        <w:rPr>
          <w:rFonts w:hint="eastAsia" w:ascii="仿宋" w:hAnsi="仿宋" w:eastAsia="仿宋" w:cs="仿宋"/>
          <w:sz w:val="28"/>
          <w:szCs w:val="28"/>
          <w:lang w:eastAsia="zh-CN"/>
        </w:rPr>
        <w:t>，</w:t>
      </w:r>
      <w:r>
        <w:rPr>
          <w:rFonts w:hint="eastAsia" w:ascii="仿宋" w:hAnsi="仿宋" w:eastAsia="仿宋" w:cs="仿宋"/>
          <w:sz w:val="28"/>
          <w:szCs w:val="28"/>
        </w:rPr>
        <w:t>软件版本号1.0 及以上，且国内企业有较多使用案例，社区文档、示例代码等支持完善、稳定性较好、版本迭代的兼容性好。</w:t>
      </w:r>
    </w:p>
    <w:p>
      <w:pPr>
        <w:numPr>
          <w:ilvl w:val="0"/>
          <w:numId w:val="0"/>
        </w:numPr>
        <w:spacing w:beforeLines="0" w:after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活跃度要求：应优先考虑开源社区活跃度较高、软件维护者持续维护、缺陷修复响应较快、中文社区有较高的活跃度的开源软件。</w:t>
      </w:r>
    </w:p>
    <w:p>
      <w:pPr>
        <w:numPr>
          <w:ilvl w:val="0"/>
          <w:numId w:val="0"/>
        </w:numPr>
        <w:spacing w:beforeLines="0" w:after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配套设施要求：所选择的开源软件应符合主流技术标准，有较为完善的配套的工具体系（如运维工具、监控、性能分析等）。</w:t>
      </w:r>
    </w:p>
    <w:p>
      <w:pPr>
        <w:numPr>
          <w:ilvl w:val="0"/>
          <w:numId w:val="0"/>
        </w:numPr>
        <w:spacing w:beforeLines="0" w:after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6、投标方应主动配合我行每季度的开源软件安全检查，</w:t>
      </w:r>
      <w:r>
        <w:rPr>
          <w:rFonts w:hint="eastAsia" w:ascii="仿宋" w:hAnsi="仿宋" w:eastAsia="仿宋" w:cs="仿宋"/>
          <w:sz w:val="28"/>
          <w:szCs w:val="28"/>
        </w:rPr>
        <w:t>第三方或开源组件出现安全漏洞时，</w:t>
      </w:r>
      <w:r>
        <w:rPr>
          <w:rFonts w:hint="eastAsia" w:ascii="仿宋" w:hAnsi="仿宋" w:eastAsia="仿宋" w:cs="仿宋"/>
          <w:sz w:val="28"/>
          <w:szCs w:val="28"/>
          <w:lang w:eastAsia="zh-CN"/>
        </w:rPr>
        <w:t>投标方应及时配合我行整改并</w:t>
      </w:r>
      <w:r>
        <w:rPr>
          <w:rFonts w:hint="eastAsia" w:ascii="仿宋" w:hAnsi="仿宋" w:eastAsia="仿宋" w:cs="仿宋"/>
          <w:sz w:val="28"/>
          <w:szCs w:val="28"/>
        </w:rPr>
        <w:t>提供必要技术支持。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i/>
          <w:iCs/>
          <w:sz w:val="24"/>
          <w:szCs w:val="24"/>
          <w:highlight w:val="none"/>
          <w:lang w:val="en-US" w:eastAsia="zh-CN"/>
        </w:rPr>
      </w:pPr>
      <w:r>
        <w:rPr>
          <w:rFonts w:hint="eastAsia" w:ascii="华文仿宋" w:hAnsi="华文仿宋" w:eastAsia="华文仿宋" w:cs="华文仿宋"/>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（一）所需软件清单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lang w:eastAsia="zh-CN"/>
              </w:rPr>
            </w:pPr>
            <w:r>
              <w:rPr>
                <w:rFonts w:hint="eastAsia" w:ascii="华文仿宋" w:hAnsi="华文仿宋" w:eastAsia="华文仿宋" w:cs="华文仿宋"/>
                <w:b/>
                <w:bCs/>
                <w:sz w:val="21"/>
                <w:szCs w:val="21"/>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val="0"/>
                <w:iCs w:val="0"/>
                <w:sz w:val="20"/>
                <w:szCs w:val="20"/>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34"/>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所需硬件清单</w:t>
      </w:r>
    </w:p>
    <w:tbl>
      <w:tblPr>
        <w:tblStyle w:val="33"/>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bl>
    <w:p>
      <w:pPr>
        <w:numPr>
          <w:ilvl w:val="0"/>
          <w:numId w:val="0"/>
        </w:numPr>
        <w:adjustRightInd w:val="0"/>
        <w:ind w:leftChars="270"/>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系统架构规划</w:t>
      </w:r>
    </w:p>
    <w:p>
      <w:pPr>
        <w:numPr>
          <w:ilvl w:val="0"/>
          <w:numId w:val="35"/>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系统架构图</w:t>
      </w:r>
      <w:r>
        <w:rPr>
          <w:rFonts w:hint="eastAsia" w:ascii="仿宋" w:hAnsi="仿宋" w:eastAsia="仿宋" w:cs="仿宋"/>
          <w:snapToGrid w:val="0"/>
          <w:color w:val="000000"/>
          <w:sz w:val="22"/>
          <w:szCs w:val="22"/>
          <w:highlight w:val="none"/>
          <w:lang w:eastAsia="zh-CN"/>
        </w:rPr>
        <w:t>（我行已建立</w:t>
      </w:r>
      <w:r>
        <w:rPr>
          <w:rFonts w:hint="eastAsia" w:ascii="仿宋" w:hAnsi="仿宋" w:eastAsia="仿宋" w:cs="仿宋"/>
          <w:snapToGrid w:val="0"/>
          <w:color w:val="000000"/>
          <w:sz w:val="22"/>
          <w:szCs w:val="22"/>
          <w:highlight w:val="none"/>
          <w:lang w:val="en-US" w:eastAsia="zh-CN"/>
        </w:rPr>
        <w:t>ESB企业服务总线、数据总线、业务中台）</w:t>
      </w:r>
      <w:r>
        <w:rPr>
          <w:rFonts w:hint="eastAsia" w:ascii="仿宋" w:hAnsi="仿宋" w:eastAsia="仿宋" w:cs="仿宋"/>
          <w:snapToGrid w:val="0"/>
          <w:color w:val="000000"/>
          <w:sz w:val="28"/>
          <w:szCs w:val="28"/>
          <w:highlight w:val="none"/>
          <w:lang w:val="en-US" w:eastAsia="zh-CN"/>
        </w:rPr>
        <w:t xml:space="preserve">  </w:t>
      </w:r>
      <w:r>
        <w:rPr>
          <w:rFonts w:hint="eastAsia" w:ascii="仿宋" w:hAnsi="仿宋" w:eastAsia="仿宋" w:cs="仿宋"/>
          <w:snapToGrid w:val="0"/>
          <w:color w:val="00000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numPr>
          <w:ilvl w:val="0"/>
          <w:numId w:val="35"/>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硬件拓补图</w:t>
      </w:r>
      <w:r>
        <w:rPr>
          <w:rFonts w:hint="eastAsia" w:ascii="仿宋" w:hAnsi="仿宋" w:eastAsia="仿宋" w:cs="仿宋"/>
          <w:snapToGrid w:val="0"/>
          <w:color w:val="000000"/>
          <w:sz w:val="22"/>
          <w:szCs w:val="22"/>
          <w:lang w:eastAsia="zh-CN"/>
        </w:rPr>
        <w:t>（</w:t>
      </w:r>
      <w:r>
        <w:rPr>
          <w:rFonts w:hint="eastAsia" w:ascii="仿宋" w:hAnsi="仿宋" w:eastAsia="仿宋" w:cs="仿宋"/>
          <w:snapToGrid w:val="0"/>
          <w:color w:val="000000"/>
          <w:sz w:val="22"/>
          <w:szCs w:val="22"/>
          <w:lang w:val="en-US" w:eastAsia="zh-CN"/>
        </w:rPr>
        <w:t>请从附表</w:t>
      </w:r>
      <w:r>
        <w:rPr>
          <w:rFonts w:hint="eastAsia" w:ascii="华文仿宋" w:hAnsi="华文仿宋" w:eastAsia="华文仿宋" w:cs="华文仿宋"/>
          <w:b w:val="0"/>
          <w:bCs w:val="0"/>
          <w:sz w:val="24"/>
          <w:szCs w:val="24"/>
          <w:highlight w:val="none"/>
          <w:lang w:val="en-US" w:eastAsia="zh-CN"/>
        </w:rPr>
        <w:t>我行</w:t>
      </w:r>
      <w:r>
        <w:rPr>
          <w:rFonts w:hint="eastAsia" w:ascii="仿宋" w:hAnsi="仿宋" w:eastAsia="仿宋" w:cs="仿宋"/>
          <w:snapToGrid w:val="0"/>
          <w:color w:val="000000"/>
          <w:sz w:val="22"/>
          <w:szCs w:val="22"/>
          <w:lang w:val="en-US" w:eastAsia="zh-CN"/>
        </w:rPr>
        <w:t>支持软硬件清单中选择所需硬件类型，超出范围的请标注）</w:t>
      </w: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br w:type="textWrapping"/>
      </w:r>
    </w:p>
    <w:p>
      <w:pPr>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（1）我行支持软件清单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5050"/>
        <w:gridCol w:w="1635"/>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lang w:eastAsia="zh-CN"/>
              </w:rPr>
            </w:pPr>
            <w:r>
              <w:rPr>
                <w:rFonts w:hint="eastAsia" w:ascii="华文仿宋" w:hAnsi="华文仿宋" w:eastAsia="华文仿宋" w:cs="华文仿宋"/>
                <w:b/>
                <w:bCs/>
                <w:sz w:val="21"/>
                <w:szCs w:val="21"/>
                <w:lang w:eastAsia="zh-CN"/>
              </w:rPr>
              <w:t>类别</w:t>
            </w:r>
          </w:p>
        </w:tc>
        <w:tc>
          <w:tcPr>
            <w:tcW w:w="505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名称</w:t>
            </w:r>
          </w:p>
        </w:tc>
        <w:tc>
          <w:tcPr>
            <w:tcW w:w="163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val="0"/>
                <w:iCs w:val="0"/>
                <w:sz w:val="20"/>
                <w:szCs w:val="20"/>
                <w:highlight w:val="none"/>
                <w:lang w:eastAsia="zh-CN"/>
              </w:rPr>
              <w:t>操作系统</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SUSE LINUX11 SP3、SP4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WIN</w:t>
            </w:r>
            <w:r>
              <w:rPr>
                <w:rFonts w:hint="eastAsia" w:ascii="华文仿宋" w:hAnsi="华文仿宋" w:eastAsia="华文仿宋" w:cs="华文仿宋"/>
                <w:sz w:val="20"/>
                <w:szCs w:val="20"/>
                <w:lang w:val="en-US" w:eastAsia="zh-CN"/>
              </w:rPr>
              <w:t xml:space="preserve">DOWS </w:t>
            </w:r>
            <w:r>
              <w:rPr>
                <w:rFonts w:hint="eastAsia" w:ascii="华文仿宋" w:hAnsi="华文仿宋" w:eastAsia="华文仿宋" w:cs="华文仿宋"/>
                <w:sz w:val="20"/>
                <w:szCs w:val="20"/>
                <w:lang w:val="zh-CN"/>
              </w:rPr>
              <w:t>SERVER 2008/2012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szCs w:val="20"/>
                <w:lang w:val="zh-CN"/>
              </w:rPr>
              <w:t xml:space="preserve">REDHAT </w:t>
            </w:r>
            <w:r>
              <w:rPr>
                <w:rFonts w:hint="eastAsia" w:ascii="华文仿宋" w:hAnsi="华文仿宋" w:eastAsia="华文仿宋" w:cs="华文仿宋"/>
                <w:sz w:val="20"/>
                <w:szCs w:val="20"/>
                <w:lang w:val="en-US" w:eastAsia="zh-CN"/>
              </w:rPr>
              <w:t>LINUX 5.4/</w:t>
            </w:r>
            <w:r>
              <w:rPr>
                <w:rFonts w:hint="eastAsia" w:ascii="华文仿宋" w:hAnsi="华文仿宋" w:eastAsia="华文仿宋" w:cs="华文仿宋"/>
                <w:sz w:val="20"/>
                <w:szCs w:val="20"/>
                <w:lang w:val="zh-CN"/>
              </w:rPr>
              <w:t>6.3/7.2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lang w:val="zh-CN"/>
              </w:rPr>
              <w:t xml:space="preserve">CentOS 7.5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数据库</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DB2 10.1/10.5.7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OceanBase 1.4/2.2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优先选择</w:t>
            </w:r>
          </w:p>
        </w:tc>
      </w:tr>
      <w:tr>
        <w:tblPrEx>
          <w:tblLayout w:type="fixed"/>
          <w:tblCellMar>
            <w:top w:w="0" w:type="dxa"/>
            <w:left w:w="108" w:type="dxa"/>
            <w:bottom w:w="0" w:type="dxa"/>
            <w:right w:w="108" w:type="dxa"/>
          </w:tblCellMar>
        </w:tblPrEx>
        <w:trPr>
          <w:trHeight w:val="440"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中间件</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 xml:space="preserve">WAS </w:t>
            </w:r>
            <w:r>
              <w:rPr>
                <w:rFonts w:hint="eastAsia" w:ascii="华文仿宋" w:hAnsi="华文仿宋" w:eastAsia="华文仿宋" w:cs="华文仿宋"/>
                <w:sz w:val="20"/>
                <w:szCs w:val="20"/>
                <w:lang w:val="en-US" w:eastAsia="zh-CN"/>
              </w:rPr>
              <w:t>9.0.0.5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 xml:space="preserve">Tomcat </w:t>
            </w:r>
            <w:r>
              <w:rPr>
                <w:rFonts w:hint="eastAsia" w:ascii="华文仿宋" w:hAnsi="华文仿宋" w:eastAsia="华文仿宋" w:cs="华文仿宋"/>
                <w:sz w:val="20"/>
              </w:rPr>
              <w:t>9.0 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lang w:val="zh-CN"/>
              </w:rPr>
              <w:t>Nginx</w:t>
            </w:r>
            <w:r>
              <w:rPr>
                <w:rFonts w:hint="eastAsia" w:ascii="华文仿宋" w:hAnsi="华文仿宋" w:eastAsia="华文仿宋" w:cs="华文仿宋"/>
                <w:sz w:val="20"/>
                <w:lang w:val="en-US" w:eastAsia="zh-CN"/>
              </w:rPr>
              <w:t xml:space="preserve"> </w:t>
            </w:r>
            <w:r>
              <w:rPr>
                <w:rFonts w:hint="eastAsia" w:ascii="华文仿宋" w:hAnsi="华文仿宋" w:eastAsia="华文仿宋" w:cs="华文仿宋"/>
                <w:sz w:val="20"/>
              </w:rPr>
              <w:t>1.15.9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HTTPSERVER</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45"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CICS</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（2）我行支持硬件清单</w:t>
      </w:r>
    </w:p>
    <w:tbl>
      <w:tblPr>
        <w:tblStyle w:val="33"/>
        <w:tblpPr w:leftFromText="180" w:rightFromText="180" w:vertAnchor="text" w:horzAnchor="page" w:tblpX="2350" w:tblpY="303"/>
        <w:tblOverlap w:val="never"/>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硬件名称</w:t>
            </w:r>
          </w:p>
        </w:tc>
        <w:tc>
          <w:tcPr>
            <w:tcW w:w="34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基本配置</w:t>
            </w:r>
          </w:p>
        </w:tc>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小型机</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r>
              <w:rPr>
                <w:rFonts w:hint="eastAsia" w:ascii="华文仿宋" w:hAnsi="华文仿宋" w:eastAsia="华文仿宋" w:cs="华文仿宋"/>
                <w:b w:val="0"/>
                <w:bCs w:val="0"/>
                <w:sz w:val="18"/>
                <w:szCs w:val="18"/>
                <w:vertAlign w:val="baseline"/>
                <w:lang w:val="en-US" w:eastAsia="zh-CN"/>
              </w:rPr>
              <w:t>16C/128G/4*300GB/2*HBA卡/2*4口网卡</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PCserver</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r>
              <w:rPr>
                <w:rFonts w:hint="eastAsia" w:ascii="华文仿宋" w:hAnsi="华文仿宋" w:eastAsia="华文仿宋" w:cs="华文仿宋"/>
                <w:b w:val="0"/>
                <w:bCs w:val="0"/>
                <w:sz w:val="18"/>
                <w:szCs w:val="18"/>
                <w:vertAlign w:val="baseline"/>
                <w:lang w:val="zh-CN" w:eastAsia="zh-CN"/>
              </w:rPr>
              <w:t>2*E5-2630V4 8C/128GB(8*16GB)/4*600G SAS/Raid (0、1、5)</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虚拟化设备</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r>
              <w:rPr>
                <w:rFonts w:hint="eastAsia" w:ascii="华文仿宋" w:hAnsi="华文仿宋" w:eastAsia="华文仿宋" w:cs="华文仿宋"/>
                <w:b w:val="0"/>
                <w:bCs w:val="0"/>
                <w:sz w:val="18"/>
                <w:szCs w:val="18"/>
                <w:vertAlign w:val="baseline"/>
                <w:lang w:val="en-US" w:eastAsia="zh-CN"/>
              </w:rPr>
              <w:t>2C/8G/100G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bl>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rPr>
          <w:rFonts w:hint="eastAsia" w:ascii="仿宋" w:hAnsi="仿宋" w:eastAsia="仿宋" w:cs="仿宋"/>
          <w:b w:val="0"/>
          <w:bCs w:val="0"/>
          <w:snapToGrid w:val="0"/>
          <w:color w:val="000000"/>
          <w:sz w:val="16"/>
          <w:szCs w:val="16"/>
          <w:highlight w:val="none"/>
          <w:lang w:val="en-US" w:eastAsia="zh-CN"/>
        </w:rPr>
      </w:pPr>
    </w:p>
    <w:p>
      <w:pPr>
        <w:pStyle w:val="3"/>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附件7：产品功能表</w:t>
      </w:r>
    </w:p>
    <w:tbl>
      <w:tblPr>
        <w:tblStyle w:val="33"/>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产品功能/应用/模块</w:t>
            </w:r>
          </w:p>
        </w:tc>
        <w:tc>
          <w:tcPr>
            <w:tcW w:w="3937"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对应需求点</w:t>
            </w:r>
          </w:p>
        </w:tc>
        <w:tc>
          <w:tcPr>
            <w:tcW w:w="21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bl>
    <w:p>
      <w:pPr>
        <w:rPr>
          <w:rFonts w:hint="eastAsia" w:ascii="宋体" w:hAnsi="宋体"/>
          <w:sz w:val="28"/>
          <w:szCs w:val="28"/>
          <w:lang w:val="en-US" w:eastAsia="zh-CN"/>
        </w:rPr>
      </w:pPr>
    </w:p>
    <w:p>
      <w:pPr>
        <w:rPr>
          <w:rFonts w:hint="eastAsia" w:ascii="宋体" w:hAnsi="宋体"/>
          <w:sz w:val="28"/>
          <w:szCs w:val="28"/>
          <w:lang w:val="en-US" w:eastAsia="zh-CN"/>
        </w:rPr>
      </w:pPr>
    </w:p>
    <w:p>
      <w:pPr>
        <w:pStyle w:val="3"/>
        <w:spacing w:after="0" w:line="240" w:lineRule="auto"/>
        <w:jc w:val="left"/>
        <w:rPr>
          <w:rFonts w:ascii="宋体" w:hAnsi="宋体" w:eastAsia="宋体"/>
          <w:b w:val="0"/>
          <w:sz w:val="28"/>
          <w:szCs w:val="28"/>
          <w:highlight w:val="yellow"/>
        </w:rPr>
      </w:pPr>
      <w:r>
        <w:rPr>
          <w:rFonts w:hint="eastAsia" w:ascii="仿宋" w:hAnsi="仿宋" w:eastAsia="仿宋" w:cs="仿宋"/>
          <w:b w:val="0"/>
          <w:bCs w:val="0"/>
          <w:snapToGrid w:val="0"/>
          <w:color w:val="000000"/>
          <w:kern w:val="2"/>
          <w:sz w:val="28"/>
          <w:szCs w:val="28"/>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项目实施人员一览表</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角色</w:t>
            </w:r>
          </w:p>
        </w:tc>
        <w:tc>
          <w:tcPr>
            <w:tcW w:w="109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84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公司职务</w:t>
            </w:r>
          </w:p>
        </w:tc>
        <w:tc>
          <w:tcPr>
            <w:tcW w:w="683"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工作年限</w:t>
            </w:r>
          </w:p>
        </w:tc>
        <w:tc>
          <w:tcPr>
            <w:tcW w:w="191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参与阶段/主要工作</w:t>
            </w:r>
          </w:p>
        </w:tc>
        <w:tc>
          <w:tcPr>
            <w:tcW w:w="136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进场时间</w:t>
            </w:r>
          </w:p>
        </w:tc>
        <w:tc>
          <w:tcPr>
            <w:tcW w:w="141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项目经理</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需求分析</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系统设计</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软件工程师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测试工程师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bl>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tabs>
          <w:tab w:val="left" w:pos="720"/>
        </w:tabs>
        <w:spacing w:line="300" w:lineRule="auto"/>
        <w:rPr>
          <w:rFonts w:hint="eastAsia" w:ascii="仿宋" w:hAnsi="仿宋" w:eastAsia="仿宋" w:cs="仿宋"/>
          <w:b/>
          <w:sz w:val="28"/>
          <w:szCs w:val="28"/>
        </w:rPr>
      </w:pPr>
    </w:p>
    <w:p>
      <w:pPr>
        <w:tabs>
          <w:tab w:val="left" w:pos="720"/>
        </w:tabs>
        <w:spacing w:line="300" w:lineRule="auto"/>
        <w:rPr>
          <w:rFonts w:hint="eastAsia" w:ascii="仿宋" w:hAnsi="仿宋" w:eastAsia="仿宋" w:cs="仿宋"/>
          <w:b/>
          <w:sz w:val="28"/>
          <w:szCs w:val="28"/>
        </w:rPr>
      </w:pP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lang w:eastAsia="zh-CN"/>
        </w:rPr>
        <w:t>项目成</w:t>
      </w:r>
      <w:r>
        <w:rPr>
          <w:rFonts w:hint="eastAsia" w:ascii="仿宋" w:hAnsi="仿宋" w:eastAsia="仿宋" w:cs="仿宋"/>
          <w:b/>
          <w:sz w:val="28"/>
          <w:szCs w:val="28"/>
        </w:rPr>
        <w:t>员简历</w:t>
      </w:r>
    </w:p>
    <w:tbl>
      <w:tblPr>
        <w:tblStyle w:val="32"/>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姓  名</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年  龄</w:t>
            </w:r>
          </w:p>
        </w:tc>
        <w:tc>
          <w:tcPr>
            <w:tcW w:w="2846" w:type="dxa"/>
            <w:gridSpan w:val="2"/>
            <w:shd w:val="clear" w:color="auto" w:fill="auto"/>
            <w:vAlign w:val="center"/>
          </w:tcPr>
          <w:p>
            <w:pPr>
              <w:snapToGrid w:val="0"/>
              <w:spacing w:line="288" w:lineRule="auto"/>
              <w:jc w:val="both"/>
              <w:rPr>
                <w:rFonts w:hint="eastAsia" w:ascii="仿宋" w:hAnsi="仿宋" w:eastAsia="仿宋" w:cs="仿宋"/>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毕业学校</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学  历</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专  业</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工作年限</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现所在部门</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职务/职称</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6887" w:type="dxa"/>
            <w:gridSpan w:val="5"/>
            <w:shd w:val="clear" w:color="auto" w:fill="auto"/>
            <w:vAlign w:val="center"/>
          </w:tcPr>
          <w:p>
            <w:pPr>
              <w:snapToGrid w:val="0"/>
              <w:spacing w:line="312" w:lineRule="auto"/>
              <w:jc w:val="both"/>
              <w:rPr>
                <w:rFonts w:hint="eastAsia" w:ascii="仿宋" w:hAnsi="仿宋" w:eastAsia="仿宋" w:cs="仿宋"/>
                <w:sz w:val="24"/>
                <w:szCs w:val="24"/>
              </w:rPr>
            </w:pPr>
            <w:r>
              <w:rPr>
                <w:rFonts w:hint="eastAsia" w:ascii="仿宋" w:hAnsi="仿宋" w:eastAsia="仿宋" w:cs="仿宋"/>
                <w:i w:val="0"/>
                <w:iCs w:val="0"/>
                <w:sz w:val="22"/>
                <w:szCs w:val="22"/>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专业资质&amp;认证</w:t>
            </w:r>
          </w:p>
        </w:tc>
        <w:tc>
          <w:tcPr>
            <w:tcW w:w="6887" w:type="dxa"/>
            <w:gridSpan w:val="5"/>
            <w:shd w:val="clear" w:color="auto" w:fill="auto"/>
            <w:vAlign w:val="center"/>
          </w:tcPr>
          <w:p>
            <w:pPr>
              <w:spacing w:line="360"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专业技能简介</w:t>
            </w:r>
          </w:p>
        </w:tc>
        <w:tc>
          <w:tcPr>
            <w:tcW w:w="6887" w:type="dxa"/>
            <w:gridSpan w:val="5"/>
            <w:shd w:val="clear" w:color="auto" w:fill="auto"/>
            <w:vAlign w:val="center"/>
          </w:tcPr>
          <w:p>
            <w:pPr>
              <w:jc w:val="both"/>
              <w:rPr>
                <w:rFonts w:hint="eastAsia" w:ascii="仿宋" w:hAnsi="仿宋" w:eastAsia="仿宋" w:cs="仿宋"/>
                <w:sz w:val="24"/>
                <w:szCs w:val="24"/>
              </w:rPr>
            </w:pPr>
            <w:r>
              <w:rPr>
                <w:rFonts w:hint="eastAsia" w:ascii="仿宋" w:hAnsi="仿宋" w:eastAsia="仿宋" w:cs="仿宋"/>
                <w:sz w:val="24"/>
                <w:szCs w:val="24"/>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工作经历(</w:t>
            </w:r>
            <w:r>
              <w:rPr>
                <w:rFonts w:hint="eastAsia" w:ascii="仿宋" w:hAnsi="仿宋" w:eastAsia="仿宋" w:cs="仿宋"/>
                <w:sz w:val="24"/>
                <w:szCs w:val="24"/>
                <w:highlight w:val="none"/>
                <w:lang w:eastAsia="zh-CN"/>
              </w:rPr>
              <w:t>所有</w:t>
            </w:r>
            <w:r>
              <w:rPr>
                <w:rFonts w:hint="eastAsia" w:ascii="仿宋" w:hAnsi="仿宋" w:eastAsia="仿宋" w:cs="仿宋"/>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范例：</w:t>
            </w:r>
          </w:p>
          <w:p>
            <w:pPr>
              <w:numPr>
                <w:ilvl w:val="0"/>
                <w:numId w:val="36"/>
              </w:numPr>
              <w:snapToGrid w:val="0"/>
              <w:spacing w:line="312" w:lineRule="auto"/>
              <w:ind w:left="357" w:hanging="357"/>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2008.7</w:t>
            </w:r>
            <w:r>
              <w:rPr>
                <w:rFonts w:hint="eastAsia" w:ascii="仿宋" w:hAnsi="仿宋" w:eastAsia="仿宋" w:cs="仿宋"/>
                <w:i w:val="0"/>
                <w:iCs w:val="0"/>
                <w:sz w:val="22"/>
                <w:szCs w:val="22"/>
                <w:highlight w:val="none"/>
                <w:lang w:eastAsia="zh-CN"/>
              </w:rPr>
              <w:t>至</w:t>
            </w:r>
            <w:r>
              <w:rPr>
                <w:rFonts w:hint="eastAsia" w:ascii="仿宋" w:hAnsi="仿宋" w:eastAsia="仿宋" w:cs="仿宋"/>
                <w:i w:val="0"/>
                <w:iCs w:val="0"/>
                <w:sz w:val="22"/>
                <w:szCs w:val="22"/>
                <w:highlight w:val="none"/>
              </w:rPr>
              <w:t>今, xxxxx公司，xxx职务/岗位 (时间倒序)</w:t>
            </w:r>
          </w:p>
          <w:p>
            <w:pPr>
              <w:numPr>
                <w:ilvl w:val="0"/>
                <w:numId w:val="36"/>
              </w:numPr>
              <w:snapToGrid w:val="0"/>
              <w:spacing w:line="312" w:lineRule="auto"/>
              <w:ind w:left="357" w:hanging="357"/>
              <w:jc w:val="both"/>
              <w:rPr>
                <w:rFonts w:hint="eastAsia" w:ascii="仿宋" w:hAnsi="仿宋" w:eastAsia="仿宋" w:cs="仿宋"/>
                <w:sz w:val="24"/>
                <w:szCs w:val="24"/>
                <w:highlight w:val="none"/>
              </w:rPr>
            </w:pPr>
            <w:r>
              <w:rPr>
                <w:rFonts w:hint="eastAsia" w:ascii="仿宋" w:hAnsi="仿宋" w:eastAsia="仿宋" w:cs="仿宋"/>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参加起/止日期</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近3年参加的类似项目名称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范例：2009.5 ～2010.9</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xxx客户xxxx项目名称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咨询顾问</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p>
    <w:p>
      <w:pPr>
        <w:rPr>
          <w:rFonts w:hint="eastAsia" w:ascii="仿宋" w:hAnsi="仿宋" w:eastAsia="仿宋" w:cs="仿宋"/>
          <w:sz w:val="28"/>
          <w:szCs w:val="28"/>
        </w:rPr>
      </w:pPr>
    </w:p>
    <w:p>
      <w:pPr>
        <w:rPr>
          <w:rFonts w:ascii="宋体" w:hAnsi="宋体"/>
          <w:sz w:val="28"/>
          <w:szCs w:val="28"/>
        </w:rPr>
      </w:pPr>
    </w:p>
    <w:p>
      <w:pPr>
        <w:pStyle w:val="3"/>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eastAsia="zh-CN"/>
        </w:rPr>
        <w:t>附件</w:t>
      </w:r>
      <w:r>
        <w:rPr>
          <w:rFonts w:hint="eastAsia" w:ascii="仿宋" w:hAnsi="仿宋" w:eastAsia="仿宋" w:cs="仿宋"/>
          <w:b w:val="0"/>
          <w:sz w:val="28"/>
          <w:szCs w:val="28"/>
          <w:lang w:val="en-US" w:eastAsia="zh-CN"/>
        </w:rPr>
        <w:t>9：科技系统技术标准概要事项</w:t>
      </w:r>
    </w:p>
    <w:tbl>
      <w:tblPr>
        <w:tblStyle w:val="32"/>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系统涉及回单必须对接招标方统一回单应用</w:t>
            </w:r>
          </w:p>
        </w:tc>
      </w:tr>
    </w:tbl>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宋体" w:hAnsi="宋体"/>
          <w:sz w:val="24"/>
          <w:szCs w:val="24"/>
          <w:lang w:val="en-US" w:eastAsia="zh-CN"/>
        </w:rPr>
      </w:pPr>
      <w:r>
        <w:rPr>
          <w:rFonts w:hint="eastAsia" w:ascii="仿宋" w:hAnsi="仿宋" w:eastAsia="仿宋" w:cs="仿宋"/>
          <w:sz w:val="28"/>
          <w:szCs w:val="28"/>
        </w:rPr>
        <w:t>日    期：</w:t>
      </w:r>
    </w:p>
    <w:p>
      <w:pPr>
        <w:pStyle w:val="3"/>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附件10：投标人资格证明与案例情况（近三年，需附证明文件）</w:t>
      </w:r>
    </w:p>
    <w:p>
      <w:pPr>
        <w:numPr>
          <w:ilvl w:val="0"/>
          <w:numId w:val="37"/>
        </w:num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注：复印件作为附页。</w:t>
      </w:r>
    </w:p>
    <w:p>
      <w:p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二、案例情况说明</w:t>
      </w:r>
    </w:p>
    <w:tbl>
      <w:tblPr>
        <w:tblStyle w:val="33"/>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合作方式</w:t>
            </w:r>
          </w:p>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ascii="宋体" w:hAnsi="宋体"/>
          <w:sz w:val="28"/>
          <w:szCs w:val="28"/>
        </w:rPr>
      </w:pPr>
      <w:r>
        <w:rPr>
          <w:rFonts w:hint="eastAsia" w:ascii="仿宋" w:hAnsi="仿宋" w:eastAsia="仿宋" w:cs="仿宋"/>
          <w:sz w:val="28"/>
          <w:szCs w:val="28"/>
        </w:rPr>
        <w:t>日    期：</w:t>
      </w:r>
    </w:p>
    <w:p>
      <w:pPr>
        <w:rPr>
          <w:rFonts w:hint="eastAsia" w:ascii="微软雅黑" w:hAnsi="微软雅黑" w:eastAsia="微软雅黑" w:cs="微软雅黑"/>
          <w:b w:val="0"/>
          <w:i w:val="0"/>
          <w:caps w:val="0"/>
          <w:color w:val="000000"/>
          <w:spacing w:val="0"/>
          <w:sz w:val="21"/>
          <w:szCs w:val="21"/>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2022年7月版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1">
    <w:nsid w:val="CD5417C5"/>
    <w:multiLevelType w:val="singleLevel"/>
    <w:tmpl w:val="CD5417C5"/>
    <w:lvl w:ilvl="0" w:tentative="0">
      <w:start w:val="1"/>
      <w:numFmt w:val="decimal"/>
      <w:lvlText w:val="%1."/>
      <w:lvlJc w:val="left"/>
      <w:pPr>
        <w:tabs>
          <w:tab w:val="left" w:pos="312"/>
        </w:tabs>
      </w:pPr>
    </w:lvl>
  </w:abstractNum>
  <w:abstractNum w:abstractNumId="2">
    <w:nsid w:val="FAC7ECD9"/>
    <w:multiLevelType w:val="singleLevel"/>
    <w:tmpl w:val="FAC7ECD9"/>
    <w:lvl w:ilvl="0" w:tentative="0">
      <w:start w:val="1"/>
      <w:numFmt w:val="decimal"/>
      <w:suff w:val="space"/>
      <w:lvlText w:val="%1."/>
      <w:lvlJc w:val="left"/>
    </w:lvl>
  </w:abstractNum>
  <w:abstractNum w:abstractNumId="3">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4">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5">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F6637F"/>
    <w:multiLevelType w:val="singleLevel"/>
    <w:tmpl w:val="13F6637F"/>
    <w:lvl w:ilvl="0" w:tentative="0">
      <w:start w:val="1"/>
      <w:numFmt w:val="decimal"/>
      <w:lvlText w:val="%1."/>
      <w:lvlJc w:val="left"/>
      <w:pPr>
        <w:tabs>
          <w:tab w:val="left" w:pos="312"/>
        </w:tabs>
      </w:pPr>
    </w:lvl>
  </w:abstractNum>
  <w:abstractNum w:abstractNumId="7">
    <w:nsid w:val="16A8AC5C"/>
    <w:multiLevelType w:val="singleLevel"/>
    <w:tmpl w:val="16A8AC5C"/>
    <w:lvl w:ilvl="0" w:tentative="0">
      <w:start w:val="1"/>
      <w:numFmt w:val="decimal"/>
      <w:lvlText w:val="%1."/>
      <w:lvlJc w:val="left"/>
      <w:pPr>
        <w:tabs>
          <w:tab w:val="left" w:pos="312"/>
        </w:tabs>
      </w:pPr>
    </w:lvl>
  </w:abstractNum>
  <w:abstractNum w:abstractNumId="8">
    <w:nsid w:val="2BECC1C6"/>
    <w:multiLevelType w:val="singleLevel"/>
    <w:tmpl w:val="2BECC1C6"/>
    <w:lvl w:ilvl="0" w:tentative="0">
      <w:start w:val="1"/>
      <w:numFmt w:val="decimal"/>
      <w:lvlText w:val="%1."/>
      <w:lvlJc w:val="left"/>
      <w:pPr>
        <w:tabs>
          <w:tab w:val="left" w:pos="312"/>
        </w:tabs>
      </w:pPr>
    </w:lvl>
  </w:abstractNum>
  <w:abstractNum w:abstractNumId="9">
    <w:nsid w:val="46802021"/>
    <w:multiLevelType w:val="singleLevel"/>
    <w:tmpl w:val="46802021"/>
    <w:lvl w:ilvl="0" w:tentative="0">
      <w:start w:val="1"/>
      <w:numFmt w:val="decimal"/>
      <w:suff w:val="nothing"/>
      <w:lvlText w:val="%1、"/>
      <w:lvlJc w:val="left"/>
    </w:lvl>
  </w:abstractNum>
  <w:abstractNum w:abstractNumId="10">
    <w:nsid w:val="5279BCCF"/>
    <w:multiLevelType w:val="singleLevel"/>
    <w:tmpl w:val="5279BCCF"/>
    <w:lvl w:ilvl="0" w:tentative="0">
      <w:start w:val="1"/>
      <w:numFmt w:val="chineseCounting"/>
      <w:suff w:val="nothing"/>
      <w:lvlText w:val="%1、"/>
      <w:lvlJc w:val="left"/>
    </w:lvl>
  </w:abstractNum>
  <w:abstractNum w:abstractNumId="11">
    <w:nsid w:val="56859509"/>
    <w:multiLevelType w:val="singleLevel"/>
    <w:tmpl w:val="56859509"/>
    <w:lvl w:ilvl="0" w:tentative="0">
      <w:start w:val="1"/>
      <w:numFmt w:val="decimal"/>
      <w:lvlText w:val="%1."/>
      <w:lvlJc w:val="left"/>
      <w:pPr>
        <w:tabs>
          <w:tab w:val="left" w:pos="312"/>
        </w:tabs>
      </w:pPr>
    </w:lvl>
  </w:abstractNum>
  <w:abstractNum w:abstractNumId="12">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13">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14">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15">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6">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21">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22">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23">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24">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25">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6">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7">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8">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9">
    <w:nsid w:val="5983032A"/>
    <w:multiLevelType w:val="singleLevel"/>
    <w:tmpl w:val="5983032A"/>
    <w:lvl w:ilvl="0" w:tentative="0">
      <w:start w:val="2"/>
      <w:numFmt w:val="chineseCounting"/>
      <w:suff w:val="nothing"/>
      <w:lvlText w:val="%1、"/>
      <w:lvlJc w:val="left"/>
    </w:lvl>
  </w:abstractNum>
  <w:abstractNum w:abstractNumId="30">
    <w:nsid w:val="5983078B"/>
    <w:multiLevelType w:val="multilevel"/>
    <w:tmpl w:val="5983078B"/>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31">
    <w:nsid w:val="5987D065"/>
    <w:multiLevelType w:val="singleLevel"/>
    <w:tmpl w:val="5987D065"/>
    <w:lvl w:ilvl="0" w:tentative="0">
      <w:start w:val="1"/>
      <w:numFmt w:val="chineseCounting"/>
      <w:suff w:val="nothing"/>
      <w:lvlText w:val="%1、"/>
      <w:lvlJc w:val="left"/>
    </w:lvl>
  </w:abstractNum>
  <w:abstractNum w:abstractNumId="32">
    <w:nsid w:val="5987D4BA"/>
    <w:multiLevelType w:val="singleLevel"/>
    <w:tmpl w:val="5987D4BA"/>
    <w:lvl w:ilvl="0" w:tentative="0">
      <w:start w:val="2"/>
      <w:numFmt w:val="chineseCounting"/>
      <w:suff w:val="nothing"/>
      <w:lvlText w:val="（%1）"/>
      <w:lvlJc w:val="left"/>
    </w:lvl>
  </w:abstractNum>
  <w:abstractNum w:abstractNumId="33">
    <w:nsid w:val="6274B24D"/>
    <w:multiLevelType w:val="singleLevel"/>
    <w:tmpl w:val="6274B24D"/>
    <w:lvl w:ilvl="0" w:tentative="0">
      <w:start w:val="1"/>
      <w:numFmt w:val="decimal"/>
      <w:suff w:val="nothing"/>
      <w:lvlText w:val="%1."/>
      <w:lvlJc w:val="left"/>
    </w:lvl>
  </w:abstractNum>
  <w:abstractNum w:abstractNumId="34">
    <w:nsid w:val="6274BBBD"/>
    <w:multiLevelType w:val="singleLevel"/>
    <w:tmpl w:val="6274BBBD"/>
    <w:lvl w:ilvl="0" w:tentative="0">
      <w:start w:val="1"/>
      <w:numFmt w:val="decimal"/>
      <w:suff w:val="nothing"/>
      <w:lvlText w:val="%1."/>
      <w:lvlJc w:val="left"/>
    </w:lvl>
  </w:abstractNum>
  <w:abstractNum w:abstractNumId="35">
    <w:nsid w:val="6D9455DC"/>
    <w:multiLevelType w:val="singleLevel"/>
    <w:tmpl w:val="6D9455DC"/>
    <w:lvl w:ilvl="0" w:tentative="0">
      <w:start w:val="1"/>
      <w:numFmt w:val="decimal"/>
      <w:lvlText w:val="%1."/>
      <w:lvlJc w:val="left"/>
      <w:pPr>
        <w:tabs>
          <w:tab w:val="left" w:pos="312"/>
        </w:tabs>
      </w:pPr>
    </w:lvl>
  </w:abstractNum>
  <w:abstractNum w:abstractNumId="36">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3"/>
  </w:num>
  <w:num w:numId="2">
    <w:abstractNumId w:val="13"/>
  </w:num>
  <w:num w:numId="3">
    <w:abstractNumId w:val="12"/>
  </w:num>
  <w:num w:numId="4">
    <w:abstractNumId w:val="15"/>
  </w:num>
  <w:num w:numId="5">
    <w:abstractNumId w:val="16"/>
  </w:num>
  <w:num w:numId="6">
    <w:abstractNumId w:val="17"/>
  </w:num>
  <w:num w:numId="7">
    <w:abstractNumId w:val="14"/>
  </w:num>
  <w:num w:numId="8">
    <w:abstractNumId w:val="18"/>
  </w:num>
  <w:num w:numId="9">
    <w:abstractNumId w:val="19"/>
  </w:num>
  <w:num w:numId="10">
    <w:abstractNumId w:val="20"/>
  </w:num>
  <w:num w:numId="11">
    <w:abstractNumId w:val="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4"/>
  </w:num>
  <w:num w:numId="19">
    <w:abstractNumId w:val="10"/>
  </w:num>
  <w:num w:numId="20">
    <w:abstractNumId w:val="36"/>
  </w:num>
  <w:num w:numId="21">
    <w:abstractNumId w:val="27"/>
  </w:num>
  <w:num w:numId="22">
    <w:abstractNumId w:val="28"/>
  </w:num>
  <w:num w:numId="23">
    <w:abstractNumId w:val="29"/>
  </w:num>
  <w:num w:numId="24">
    <w:abstractNumId w:val="33"/>
  </w:num>
  <w:num w:numId="25">
    <w:abstractNumId w:val="34"/>
  </w:num>
  <w:num w:numId="26">
    <w:abstractNumId w:val="1"/>
  </w:num>
  <w:num w:numId="27">
    <w:abstractNumId w:val="2"/>
  </w:num>
  <w:num w:numId="28">
    <w:abstractNumId w:val="11"/>
  </w:num>
  <w:num w:numId="29">
    <w:abstractNumId w:val="35"/>
  </w:num>
  <w:num w:numId="30">
    <w:abstractNumId w:val="6"/>
  </w:num>
  <w:num w:numId="31">
    <w:abstractNumId w:val="7"/>
  </w:num>
  <w:num w:numId="32">
    <w:abstractNumId w:val="9"/>
  </w:num>
  <w:num w:numId="33">
    <w:abstractNumId w:val="8"/>
  </w:num>
  <w:num w:numId="34">
    <w:abstractNumId w:val="32"/>
  </w:num>
  <w:num w:numId="35">
    <w:abstractNumId w:val="30"/>
  </w:num>
  <w:num w:numId="36">
    <w:abstractNumId w:val="5"/>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135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72CBE"/>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473415"/>
    <w:rsid w:val="015F6610"/>
    <w:rsid w:val="016B0AF3"/>
    <w:rsid w:val="023F763D"/>
    <w:rsid w:val="02426FC4"/>
    <w:rsid w:val="024C138E"/>
    <w:rsid w:val="026003F1"/>
    <w:rsid w:val="02777751"/>
    <w:rsid w:val="02A067C4"/>
    <w:rsid w:val="02BA29F8"/>
    <w:rsid w:val="02DA51D6"/>
    <w:rsid w:val="03140E87"/>
    <w:rsid w:val="031D6BFC"/>
    <w:rsid w:val="034435B9"/>
    <w:rsid w:val="03926FEA"/>
    <w:rsid w:val="03B46439"/>
    <w:rsid w:val="0412370F"/>
    <w:rsid w:val="043F6208"/>
    <w:rsid w:val="04694A39"/>
    <w:rsid w:val="04972F07"/>
    <w:rsid w:val="05B856DB"/>
    <w:rsid w:val="065A5568"/>
    <w:rsid w:val="068A58DD"/>
    <w:rsid w:val="06A2432A"/>
    <w:rsid w:val="06AC59D5"/>
    <w:rsid w:val="07017C4C"/>
    <w:rsid w:val="0756131A"/>
    <w:rsid w:val="0854497E"/>
    <w:rsid w:val="08AB3900"/>
    <w:rsid w:val="08E829EE"/>
    <w:rsid w:val="091E5CE6"/>
    <w:rsid w:val="09227C36"/>
    <w:rsid w:val="0A225111"/>
    <w:rsid w:val="0A5237FA"/>
    <w:rsid w:val="0AB43546"/>
    <w:rsid w:val="0AD164F5"/>
    <w:rsid w:val="0B0A5D72"/>
    <w:rsid w:val="0B836253"/>
    <w:rsid w:val="0BDC31DE"/>
    <w:rsid w:val="0C0E4FBC"/>
    <w:rsid w:val="0C297253"/>
    <w:rsid w:val="0C824CC4"/>
    <w:rsid w:val="0C904C0E"/>
    <w:rsid w:val="0D0514A7"/>
    <w:rsid w:val="0D1F1BB5"/>
    <w:rsid w:val="0D5D0AE8"/>
    <w:rsid w:val="0D8F2D46"/>
    <w:rsid w:val="0DAE5379"/>
    <w:rsid w:val="0DB16C2B"/>
    <w:rsid w:val="0DCB3E31"/>
    <w:rsid w:val="0E702D3B"/>
    <w:rsid w:val="0E7375A1"/>
    <w:rsid w:val="0F8F770F"/>
    <w:rsid w:val="0FFA7C4E"/>
    <w:rsid w:val="101F7A0E"/>
    <w:rsid w:val="10C776EF"/>
    <w:rsid w:val="11383706"/>
    <w:rsid w:val="12780A0F"/>
    <w:rsid w:val="12B9330F"/>
    <w:rsid w:val="131E3EC2"/>
    <w:rsid w:val="13B21DDF"/>
    <w:rsid w:val="13CF32F6"/>
    <w:rsid w:val="14044EE5"/>
    <w:rsid w:val="14193B86"/>
    <w:rsid w:val="142C5E3A"/>
    <w:rsid w:val="14A81FAA"/>
    <w:rsid w:val="14C71970"/>
    <w:rsid w:val="153C1171"/>
    <w:rsid w:val="15840E3F"/>
    <w:rsid w:val="15AE3F82"/>
    <w:rsid w:val="15BA039F"/>
    <w:rsid w:val="15D64E1E"/>
    <w:rsid w:val="15E66256"/>
    <w:rsid w:val="16273CED"/>
    <w:rsid w:val="16975514"/>
    <w:rsid w:val="17F5625C"/>
    <w:rsid w:val="17FC186F"/>
    <w:rsid w:val="189D20F0"/>
    <w:rsid w:val="18B8785A"/>
    <w:rsid w:val="19474EE4"/>
    <w:rsid w:val="194D45C7"/>
    <w:rsid w:val="19555E6C"/>
    <w:rsid w:val="19961FDC"/>
    <w:rsid w:val="19A24DFE"/>
    <w:rsid w:val="19B33F22"/>
    <w:rsid w:val="1A201B89"/>
    <w:rsid w:val="1A2C4A64"/>
    <w:rsid w:val="1A523FB8"/>
    <w:rsid w:val="1A6C779C"/>
    <w:rsid w:val="1AE65EF1"/>
    <w:rsid w:val="1B5213EA"/>
    <w:rsid w:val="1B986C08"/>
    <w:rsid w:val="1C1A366B"/>
    <w:rsid w:val="1C762E6E"/>
    <w:rsid w:val="1C765BB9"/>
    <w:rsid w:val="1CA154E8"/>
    <w:rsid w:val="1CA45FE9"/>
    <w:rsid w:val="1D106803"/>
    <w:rsid w:val="1D6C0124"/>
    <w:rsid w:val="1DE24E96"/>
    <w:rsid w:val="1E6C1D9C"/>
    <w:rsid w:val="1F1B7A78"/>
    <w:rsid w:val="1F282FCA"/>
    <w:rsid w:val="1FC00BA4"/>
    <w:rsid w:val="1FC25642"/>
    <w:rsid w:val="200E7A08"/>
    <w:rsid w:val="203665BB"/>
    <w:rsid w:val="207B4430"/>
    <w:rsid w:val="207E05FA"/>
    <w:rsid w:val="207F7502"/>
    <w:rsid w:val="20D27DF1"/>
    <w:rsid w:val="20E022E2"/>
    <w:rsid w:val="2159297C"/>
    <w:rsid w:val="21895C02"/>
    <w:rsid w:val="21A3377D"/>
    <w:rsid w:val="221E3807"/>
    <w:rsid w:val="222B3CD6"/>
    <w:rsid w:val="22B71E0A"/>
    <w:rsid w:val="23120D28"/>
    <w:rsid w:val="231C05A6"/>
    <w:rsid w:val="2377549F"/>
    <w:rsid w:val="23AD74CB"/>
    <w:rsid w:val="23D03A35"/>
    <w:rsid w:val="24B970CD"/>
    <w:rsid w:val="24DD74A7"/>
    <w:rsid w:val="24DF4CB0"/>
    <w:rsid w:val="24EF1EC5"/>
    <w:rsid w:val="250A0639"/>
    <w:rsid w:val="25987B4A"/>
    <w:rsid w:val="25AB48B9"/>
    <w:rsid w:val="25CF4249"/>
    <w:rsid w:val="262B1DED"/>
    <w:rsid w:val="26774072"/>
    <w:rsid w:val="27A24554"/>
    <w:rsid w:val="27C40956"/>
    <w:rsid w:val="28506176"/>
    <w:rsid w:val="291C7581"/>
    <w:rsid w:val="292D78B9"/>
    <w:rsid w:val="29655ACD"/>
    <w:rsid w:val="2AC82D98"/>
    <w:rsid w:val="2B0F368C"/>
    <w:rsid w:val="2B5553E9"/>
    <w:rsid w:val="2BE521BC"/>
    <w:rsid w:val="2CF57956"/>
    <w:rsid w:val="2CF80ADA"/>
    <w:rsid w:val="2D232E8B"/>
    <w:rsid w:val="2D4B2BCC"/>
    <w:rsid w:val="2DD67FBC"/>
    <w:rsid w:val="2DDE4DF1"/>
    <w:rsid w:val="2E4F5B52"/>
    <w:rsid w:val="2E5423C9"/>
    <w:rsid w:val="2E786113"/>
    <w:rsid w:val="2E8C44A4"/>
    <w:rsid w:val="2ED63DAE"/>
    <w:rsid w:val="2F920070"/>
    <w:rsid w:val="2FA85CD6"/>
    <w:rsid w:val="2FB47CF7"/>
    <w:rsid w:val="2FBB56EA"/>
    <w:rsid w:val="2FCC0C6E"/>
    <w:rsid w:val="305717B6"/>
    <w:rsid w:val="3058246E"/>
    <w:rsid w:val="31CF0A5D"/>
    <w:rsid w:val="32113DDD"/>
    <w:rsid w:val="32226E35"/>
    <w:rsid w:val="32544F91"/>
    <w:rsid w:val="32B51499"/>
    <w:rsid w:val="32D565D1"/>
    <w:rsid w:val="33631FE5"/>
    <w:rsid w:val="338800B3"/>
    <w:rsid w:val="33D87D7E"/>
    <w:rsid w:val="3413415F"/>
    <w:rsid w:val="346D1CBC"/>
    <w:rsid w:val="34774473"/>
    <w:rsid w:val="34E770F3"/>
    <w:rsid w:val="35002869"/>
    <w:rsid w:val="35AA3AE9"/>
    <w:rsid w:val="35D54B9D"/>
    <w:rsid w:val="36F0652C"/>
    <w:rsid w:val="373C6391"/>
    <w:rsid w:val="374977D6"/>
    <w:rsid w:val="3757480D"/>
    <w:rsid w:val="375E3FC2"/>
    <w:rsid w:val="3870013B"/>
    <w:rsid w:val="38B16AAF"/>
    <w:rsid w:val="38E17FBF"/>
    <w:rsid w:val="38E75E6A"/>
    <w:rsid w:val="39637C9B"/>
    <w:rsid w:val="39DE5349"/>
    <w:rsid w:val="39E90411"/>
    <w:rsid w:val="3A0B514D"/>
    <w:rsid w:val="3AC36277"/>
    <w:rsid w:val="3B1220D5"/>
    <w:rsid w:val="3B2C3D25"/>
    <w:rsid w:val="3B836A1F"/>
    <w:rsid w:val="3BB039CA"/>
    <w:rsid w:val="3C077B24"/>
    <w:rsid w:val="3C5B512B"/>
    <w:rsid w:val="3C95430B"/>
    <w:rsid w:val="3D0542A9"/>
    <w:rsid w:val="3DE51B62"/>
    <w:rsid w:val="3DFA001C"/>
    <w:rsid w:val="3E0171DC"/>
    <w:rsid w:val="3E2677C4"/>
    <w:rsid w:val="3E503BC8"/>
    <w:rsid w:val="3EA95DD0"/>
    <w:rsid w:val="3F42799A"/>
    <w:rsid w:val="3FB56FA8"/>
    <w:rsid w:val="3FC20FCA"/>
    <w:rsid w:val="4077181C"/>
    <w:rsid w:val="40837CC5"/>
    <w:rsid w:val="40F36ADA"/>
    <w:rsid w:val="411656A7"/>
    <w:rsid w:val="418A0B44"/>
    <w:rsid w:val="41A37CB9"/>
    <w:rsid w:val="42980C9A"/>
    <w:rsid w:val="42A542C4"/>
    <w:rsid w:val="43285D3E"/>
    <w:rsid w:val="438A492C"/>
    <w:rsid w:val="43B7463B"/>
    <w:rsid w:val="44534274"/>
    <w:rsid w:val="446B6756"/>
    <w:rsid w:val="448D0D5E"/>
    <w:rsid w:val="4493279D"/>
    <w:rsid w:val="44E569B4"/>
    <w:rsid w:val="458925D9"/>
    <w:rsid w:val="458B155C"/>
    <w:rsid w:val="45C0005C"/>
    <w:rsid w:val="45D74323"/>
    <w:rsid w:val="45E83AD0"/>
    <w:rsid w:val="477375C7"/>
    <w:rsid w:val="47B71891"/>
    <w:rsid w:val="48570EBF"/>
    <w:rsid w:val="486253FD"/>
    <w:rsid w:val="49B30C4C"/>
    <w:rsid w:val="49CC555F"/>
    <w:rsid w:val="49D25F5D"/>
    <w:rsid w:val="4A4D77BA"/>
    <w:rsid w:val="4A7D5BA6"/>
    <w:rsid w:val="4A8D3710"/>
    <w:rsid w:val="4AF24664"/>
    <w:rsid w:val="4B48076E"/>
    <w:rsid w:val="4B4E2792"/>
    <w:rsid w:val="4BFA7A10"/>
    <w:rsid w:val="4D391A3D"/>
    <w:rsid w:val="4D5B1913"/>
    <w:rsid w:val="4DD51292"/>
    <w:rsid w:val="4E351A0F"/>
    <w:rsid w:val="4E8D29A3"/>
    <w:rsid w:val="4E933484"/>
    <w:rsid w:val="4E9553C8"/>
    <w:rsid w:val="4E9B37F3"/>
    <w:rsid w:val="4F075C3A"/>
    <w:rsid w:val="4F124603"/>
    <w:rsid w:val="4F431490"/>
    <w:rsid w:val="4FB55C78"/>
    <w:rsid w:val="4FD533B9"/>
    <w:rsid w:val="4FDF5118"/>
    <w:rsid w:val="5011782C"/>
    <w:rsid w:val="506D1992"/>
    <w:rsid w:val="50847E00"/>
    <w:rsid w:val="51634F7E"/>
    <w:rsid w:val="51A13730"/>
    <w:rsid w:val="520B41D4"/>
    <w:rsid w:val="520D4419"/>
    <w:rsid w:val="52386CE3"/>
    <w:rsid w:val="52EE532B"/>
    <w:rsid w:val="53EF7D85"/>
    <w:rsid w:val="53FA6863"/>
    <w:rsid w:val="548D4A1C"/>
    <w:rsid w:val="54FE1F29"/>
    <w:rsid w:val="55730915"/>
    <w:rsid w:val="56C32EC8"/>
    <w:rsid w:val="572A2615"/>
    <w:rsid w:val="57426605"/>
    <w:rsid w:val="57435CB9"/>
    <w:rsid w:val="57952EED"/>
    <w:rsid w:val="581377A6"/>
    <w:rsid w:val="58516F38"/>
    <w:rsid w:val="585F37C6"/>
    <w:rsid w:val="59537374"/>
    <w:rsid w:val="59567F4D"/>
    <w:rsid w:val="59A35BD0"/>
    <w:rsid w:val="5B3B60A4"/>
    <w:rsid w:val="5B46714E"/>
    <w:rsid w:val="5B5E5416"/>
    <w:rsid w:val="5B794029"/>
    <w:rsid w:val="5C006AA4"/>
    <w:rsid w:val="5C026E80"/>
    <w:rsid w:val="5C1902AF"/>
    <w:rsid w:val="5C1F5633"/>
    <w:rsid w:val="5C5D0EEE"/>
    <w:rsid w:val="5C8247F7"/>
    <w:rsid w:val="5DBA4654"/>
    <w:rsid w:val="5DE47C2D"/>
    <w:rsid w:val="5DF20031"/>
    <w:rsid w:val="5E7618C2"/>
    <w:rsid w:val="5F2D2E24"/>
    <w:rsid w:val="603B16C5"/>
    <w:rsid w:val="60D470B0"/>
    <w:rsid w:val="60F2286C"/>
    <w:rsid w:val="61133F18"/>
    <w:rsid w:val="612A7E43"/>
    <w:rsid w:val="61357C86"/>
    <w:rsid w:val="614A23AF"/>
    <w:rsid w:val="61590E72"/>
    <w:rsid w:val="615B0D1E"/>
    <w:rsid w:val="615B5C92"/>
    <w:rsid w:val="61771EE8"/>
    <w:rsid w:val="61C03AA5"/>
    <w:rsid w:val="61D40F9A"/>
    <w:rsid w:val="61DC7A24"/>
    <w:rsid w:val="61E843AE"/>
    <w:rsid w:val="620D2536"/>
    <w:rsid w:val="62625A67"/>
    <w:rsid w:val="62626C23"/>
    <w:rsid w:val="628402D0"/>
    <w:rsid w:val="63272316"/>
    <w:rsid w:val="63C24B0A"/>
    <w:rsid w:val="63DE5387"/>
    <w:rsid w:val="64014DC5"/>
    <w:rsid w:val="6410508E"/>
    <w:rsid w:val="641D0F13"/>
    <w:rsid w:val="643829A8"/>
    <w:rsid w:val="646C6FE8"/>
    <w:rsid w:val="64C03B57"/>
    <w:rsid w:val="65761FCC"/>
    <w:rsid w:val="658A12DC"/>
    <w:rsid w:val="65906DEB"/>
    <w:rsid w:val="65C15915"/>
    <w:rsid w:val="65CB08AD"/>
    <w:rsid w:val="65F3029E"/>
    <w:rsid w:val="660D3DB9"/>
    <w:rsid w:val="661012CB"/>
    <w:rsid w:val="662F65D4"/>
    <w:rsid w:val="66A3741E"/>
    <w:rsid w:val="66B614FB"/>
    <w:rsid w:val="66C478CB"/>
    <w:rsid w:val="681E7AD8"/>
    <w:rsid w:val="685C0B24"/>
    <w:rsid w:val="68961AFB"/>
    <w:rsid w:val="6904590E"/>
    <w:rsid w:val="698C591D"/>
    <w:rsid w:val="6A0D0F70"/>
    <w:rsid w:val="6A1A03AA"/>
    <w:rsid w:val="6A394651"/>
    <w:rsid w:val="6A5945F9"/>
    <w:rsid w:val="6AA66486"/>
    <w:rsid w:val="6AA94832"/>
    <w:rsid w:val="6B4E7C02"/>
    <w:rsid w:val="6B533323"/>
    <w:rsid w:val="6B7A7AE3"/>
    <w:rsid w:val="6C325E7E"/>
    <w:rsid w:val="6CCB125B"/>
    <w:rsid w:val="6D024353"/>
    <w:rsid w:val="6D530806"/>
    <w:rsid w:val="6D813F04"/>
    <w:rsid w:val="6DCF5B68"/>
    <w:rsid w:val="6E973570"/>
    <w:rsid w:val="6ED00995"/>
    <w:rsid w:val="6EF76B37"/>
    <w:rsid w:val="6EFE488E"/>
    <w:rsid w:val="6F767EFE"/>
    <w:rsid w:val="6FFB0052"/>
    <w:rsid w:val="703C2F5B"/>
    <w:rsid w:val="704F3FE3"/>
    <w:rsid w:val="7056024D"/>
    <w:rsid w:val="70962A58"/>
    <w:rsid w:val="710E0330"/>
    <w:rsid w:val="71160067"/>
    <w:rsid w:val="71382591"/>
    <w:rsid w:val="71C13224"/>
    <w:rsid w:val="71F91A05"/>
    <w:rsid w:val="72181D1E"/>
    <w:rsid w:val="72412981"/>
    <w:rsid w:val="7251629D"/>
    <w:rsid w:val="72516DE5"/>
    <w:rsid w:val="72744378"/>
    <w:rsid w:val="728E0664"/>
    <w:rsid w:val="73176CA4"/>
    <w:rsid w:val="7318788D"/>
    <w:rsid w:val="735D191F"/>
    <w:rsid w:val="735F3638"/>
    <w:rsid w:val="736A23E7"/>
    <w:rsid w:val="73803BE2"/>
    <w:rsid w:val="740B1955"/>
    <w:rsid w:val="74833A17"/>
    <w:rsid w:val="74AE0429"/>
    <w:rsid w:val="74CC4F09"/>
    <w:rsid w:val="75237E76"/>
    <w:rsid w:val="755C32F4"/>
    <w:rsid w:val="758F565B"/>
    <w:rsid w:val="76164B6D"/>
    <w:rsid w:val="76D02233"/>
    <w:rsid w:val="76E56E6E"/>
    <w:rsid w:val="79311880"/>
    <w:rsid w:val="79C2692A"/>
    <w:rsid w:val="7A022E0D"/>
    <w:rsid w:val="7A11356D"/>
    <w:rsid w:val="7A826731"/>
    <w:rsid w:val="7AF30168"/>
    <w:rsid w:val="7B1633FD"/>
    <w:rsid w:val="7B5675BC"/>
    <w:rsid w:val="7C0619D3"/>
    <w:rsid w:val="7C35538A"/>
    <w:rsid w:val="7C40410F"/>
    <w:rsid w:val="7C7C41DC"/>
    <w:rsid w:val="7CCB2628"/>
    <w:rsid w:val="7D2C7B9C"/>
    <w:rsid w:val="7D4B6CF2"/>
    <w:rsid w:val="7DC86131"/>
    <w:rsid w:val="7DC90FFE"/>
    <w:rsid w:val="7DCD64E1"/>
    <w:rsid w:val="7DEA337D"/>
    <w:rsid w:val="7E834979"/>
    <w:rsid w:val="7ED73662"/>
    <w:rsid w:val="7EDB6AD5"/>
    <w:rsid w:val="7F1A4A92"/>
    <w:rsid w:val="7F57674C"/>
    <w:rsid w:val="7F654BFE"/>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3"/>
    <w:qFormat/>
    <w:uiPriority w:val="0"/>
    <w:pPr>
      <w:keepNext/>
      <w:outlineLvl w:val="0"/>
    </w:pPr>
    <w:rPr>
      <w:rFonts w:ascii="仿宋_GB2312" w:eastAsia="仿宋_GB2312"/>
      <w:sz w:val="28"/>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5"/>
    <w:qFormat/>
    <w:uiPriority w:val="0"/>
    <w:pPr>
      <w:keepNext/>
      <w:keepLines/>
      <w:spacing w:before="260" w:after="260" w:line="413" w:lineRule="auto"/>
      <w:jc w:val="center"/>
      <w:outlineLvl w:val="2"/>
    </w:pPr>
    <w:rPr>
      <w:b/>
      <w:sz w:val="32"/>
    </w:rPr>
  </w:style>
  <w:style w:type="paragraph" w:styleId="5">
    <w:name w:val="heading 4"/>
    <w:basedOn w:val="1"/>
    <w:next w:val="6"/>
    <w:link w:val="98"/>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99"/>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1"/>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120"/>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7"/>
    <w:qFormat/>
    <w:uiPriority w:val="0"/>
    <w:rPr>
      <w:rFonts w:ascii="宋体"/>
      <w:sz w:val="18"/>
      <w:szCs w:val="18"/>
    </w:rPr>
  </w:style>
  <w:style w:type="paragraph" w:styleId="14">
    <w:name w:val="annotation text"/>
    <w:basedOn w:val="1"/>
    <w:link w:val="118"/>
    <w:semiHidden/>
    <w:qFormat/>
    <w:uiPriority w:val="0"/>
    <w:pPr>
      <w:jc w:val="left"/>
    </w:pPr>
    <w:rPr>
      <w:szCs w:val="24"/>
    </w:rPr>
  </w:style>
  <w:style w:type="paragraph" w:styleId="15">
    <w:name w:val="Salutation"/>
    <w:basedOn w:val="1"/>
    <w:next w:val="1"/>
    <w:link w:val="107"/>
    <w:qFormat/>
    <w:uiPriority w:val="0"/>
    <w:rPr>
      <w:szCs w:val="24"/>
    </w:rPr>
  </w:style>
  <w:style w:type="paragraph" w:styleId="16">
    <w:name w:val="Body Text 3"/>
    <w:basedOn w:val="1"/>
    <w:link w:val="110"/>
    <w:qFormat/>
    <w:uiPriority w:val="0"/>
    <w:pPr>
      <w:spacing w:line="300" w:lineRule="auto"/>
    </w:pPr>
    <w:rPr>
      <w:rFonts w:ascii="宋体" w:hAnsi="宋体" w:cs="Arial"/>
      <w:b/>
      <w:szCs w:val="24"/>
    </w:rPr>
  </w:style>
  <w:style w:type="paragraph" w:styleId="17">
    <w:name w:val="Body Text"/>
    <w:basedOn w:val="1"/>
    <w:link w:val="96"/>
    <w:qFormat/>
    <w:uiPriority w:val="0"/>
    <w:pPr>
      <w:spacing w:line="480" w:lineRule="auto"/>
      <w:jc w:val="center"/>
    </w:pPr>
    <w:rPr>
      <w:rFonts w:hint="eastAsia" w:ascii="宋体" w:eastAsia="楷体_GB2312"/>
      <w:b/>
      <w:sz w:val="72"/>
    </w:rPr>
  </w:style>
  <w:style w:type="paragraph" w:styleId="18">
    <w:name w:val="Body Text Indent"/>
    <w:basedOn w:val="1"/>
    <w:link w:val="105"/>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7"/>
    <w:qFormat/>
    <w:uiPriority w:val="0"/>
    <w:rPr>
      <w:rFonts w:hint="eastAsia" w:ascii="宋体" w:hAnsi="Courier New"/>
    </w:rPr>
  </w:style>
  <w:style w:type="paragraph" w:styleId="21">
    <w:name w:val="Date"/>
    <w:basedOn w:val="1"/>
    <w:next w:val="1"/>
    <w:link w:val="109"/>
    <w:qFormat/>
    <w:uiPriority w:val="0"/>
    <w:pPr>
      <w:ind w:left="100" w:leftChars="2500"/>
    </w:pPr>
    <w:rPr>
      <w:rFonts w:ascii="宋体" w:hAnsi="宋体"/>
      <w:bCs/>
      <w:sz w:val="28"/>
      <w:szCs w:val="24"/>
    </w:rPr>
  </w:style>
  <w:style w:type="paragraph" w:styleId="22">
    <w:name w:val="Body Text Indent 2"/>
    <w:basedOn w:val="1"/>
    <w:link w:val="106"/>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5"/>
    <w:semiHidden/>
    <w:qFormat/>
    <w:uiPriority w:val="0"/>
    <w:rPr>
      <w:sz w:val="18"/>
      <w:szCs w:val="18"/>
    </w:rPr>
  </w:style>
  <w:style w:type="paragraph" w:styleId="24">
    <w:name w:val="footer"/>
    <w:basedOn w:val="1"/>
    <w:link w:val="92"/>
    <w:unhideWhenUsed/>
    <w:qFormat/>
    <w:uiPriority w:val="0"/>
    <w:pPr>
      <w:tabs>
        <w:tab w:val="center" w:pos="4153"/>
        <w:tab w:val="right" w:pos="8306"/>
      </w:tabs>
      <w:snapToGrid w:val="0"/>
      <w:jc w:val="left"/>
    </w:pPr>
    <w:rPr>
      <w:sz w:val="18"/>
      <w:szCs w:val="18"/>
    </w:rPr>
  </w:style>
  <w:style w:type="paragraph" w:styleId="25">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4"/>
    <w:qFormat/>
    <w:uiPriority w:val="0"/>
    <w:pPr>
      <w:ind w:firstLine="420" w:firstLineChars="200"/>
    </w:pPr>
    <w:rPr>
      <w:szCs w:val="24"/>
    </w:rPr>
  </w:style>
  <w:style w:type="paragraph" w:styleId="28">
    <w:name w:val="Body Text 2"/>
    <w:basedOn w:val="1"/>
    <w:link w:val="108"/>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2"/>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19"/>
    <w:qFormat/>
    <w:uiPriority w:val="0"/>
    <w:pPr>
      <w:spacing w:after="120" w:line="240" w:lineRule="auto"/>
      <w:ind w:firstLine="420" w:firstLineChars="100"/>
      <w:jc w:val="both"/>
    </w:pPr>
    <w:rPr>
      <w:rFonts w:hint="default" w:ascii="Times New Roman" w:eastAsia="宋体"/>
      <w:b w:val="0"/>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CC"/>
      <w:u w:val="single"/>
    </w:rPr>
  </w:style>
  <w:style w:type="character" w:styleId="39">
    <w:name w:val="annotation reference"/>
    <w:semiHidden/>
    <w:qFormat/>
    <w:uiPriority w:val="0"/>
    <w:rPr>
      <w:sz w:val="21"/>
      <w:szCs w:val="21"/>
    </w:rPr>
  </w:style>
  <w:style w:type="paragraph" w:customStyle="1" w:styleId="40">
    <w:name w:val="默认段落字体 Para Char"/>
    <w:basedOn w:val="1"/>
    <w:qFormat/>
    <w:uiPriority w:val="0"/>
    <w:pPr>
      <w:adjustRightInd w:val="0"/>
      <w:spacing w:line="360" w:lineRule="auto"/>
    </w:pPr>
    <w:rPr>
      <w:kern w:val="0"/>
      <w:sz w:val="24"/>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3">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4">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5">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7">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59">
    <w:name w:val="样式1"/>
    <w:basedOn w:val="1"/>
    <w:qFormat/>
    <w:uiPriority w:val="0"/>
    <w:pPr>
      <w:spacing w:line="360" w:lineRule="auto"/>
    </w:pPr>
    <w:rPr>
      <w:sz w:val="24"/>
    </w:rPr>
  </w:style>
  <w:style w:type="paragraph" w:customStyle="1" w:styleId="60">
    <w:name w:val="样式 标题 2H2h2Underrubrik1prop2标题 1.1Heading 2 HiddenHeading..."/>
    <w:basedOn w:val="3"/>
    <w:qFormat/>
    <w:uiPriority w:val="0"/>
    <w:pPr>
      <w:spacing w:line="240" w:lineRule="auto"/>
    </w:pPr>
    <w:rPr>
      <w:rFonts w:eastAsia="宋体"/>
      <w:szCs w:val="20"/>
    </w:rPr>
  </w:style>
  <w:style w:type="paragraph" w:customStyle="1" w:styleId="61">
    <w:name w:val="样式 标题 3H3h3Bold Headbh33rd levelh4Head 3level_3PIM 3L..."/>
    <w:basedOn w:val="4"/>
    <w:qFormat/>
    <w:uiPriority w:val="0"/>
    <w:pPr>
      <w:spacing w:line="416" w:lineRule="atLeast"/>
      <w:jc w:val="both"/>
    </w:pPr>
    <w:rPr>
      <w:bCs/>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
    <w:name w:val="1"/>
    <w:basedOn w:val="1"/>
    <w:next w:val="20"/>
    <w:qFormat/>
    <w:uiPriority w:val="0"/>
    <w:rPr>
      <w:rFonts w:ascii="宋体" w:hAnsi="Courier New"/>
    </w:rPr>
  </w:style>
  <w:style w:type="paragraph" w:customStyle="1" w:styleId="64">
    <w:name w:val="手册-正文 Char Char Char Char"/>
    <w:link w:val="111"/>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5">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6">
    <w:name w:val="手册-图"/>
    <w:basedOn w:val="64"/>
    <w:qFormat/>
    <w:uiPriority w:val="0"/>
    <w:pPr>
      <w:ind w:firstLine="0" w:firstLineChars="0"/>
      <w:jc w:val="center"/>
    </w:pPr>
    <w:rPr>
      <w:rFonts w:eastAsia="黑体"/>
    </w:rPr>
  </w:style>
  <w:style w:type="paragraph" w:customStyle="1" w:styleId="67">
    <w:name w:val="手册-表"/>
    <w:basedOn w:val="66"/>
    <w:qFormat/>
    <w:uiPriority w:val="0"/>
  </w:style>
  <w:style w:type="paragraph" w:customStyle="1" w:styleId="68">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69">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0">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1">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2">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3">
    <w:name w:val="CRV 正文"/>
    <w:basedOn w:val="6"/>
    <w:qFormat/>
    <w:uiPriority w:val="0"/>
    <w:pPr>
      <w:adjustRightInd w:val="0"/>
      <w:ind w:left="0" w:firstLine="200" w:firstLineChars="200"/>
      <w:textAlignment w:val="baseline"/>
    </w:pPr>
    <w:rPr>
      <w:szCs w:val="24"/>
    </w:rPr>
  </w:style>
  <w:style w:type="paragraph" w:customStyle="1" w:styleId="74">
    <w:name w:val="手册-正文"/>
    <w:link w:val="113"/>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5">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6">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7">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9">
    <w:name w:val="Char Char Char Char"/>
    <w:basedOn w:val="1"/>
    <w:qFormat/>
    <w:uiPriority w:val="0"/>
    <w:pPr>
      <w:tabs>
        <w:tab w:val="left" w:pos="432"/>
      </w:tabs>
      <w:ind w:left="432" w:hanging="432"/>
    </w:pPr>
    <w:rPr>
      <w:sz w:val="24"/>
      <w:szCs w:val="24"/>
    </w:rPr>
  </w:style>
  <w:style w:type="paragraph" w:customStyle="1" w:styleId="80">
    <w:name w:val="Char1 Char Char Char"/>
    <w:basedOn w:val="1"/>
    <w:qFormat/>
    <w:uiPriority w:val="0"/>
    <w:rPr>
      <w:rFonts w:ascii="Tahoma" w:hAnsi="Tahoma"/>
      <w:sz w:val="24"/>
    </w:rPr>
  </w:style>
  <w:style w:type="paragraph" w:customStyle="1" w:styleId="81">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2">
    <w:name w:val="Char1"/>
    <w:basedOn w:val="1"/>
    <w:qFormat/>
    <w:uiPriority w:val="0"/>
    <w:rPr>
      <w:rFonts w:ascii="Tahoma" w:hAnsi="Tahoma"/>
    </w:rPr>
  </w:style>
  <w:style w:type="paragraph" w:customStyle="1" w:styleId="83">
    <w:name w:val="默认段落字体 Para Char Char Char Char"/>
    <w:basedOn w:val="1"/>
    <w:qFormat/>
    <w:uiPriority w:val="0"/>
    <w:rPr>
      <w:szCs w:val="24"/>
    </w:rPr>
  </w:style>
  <w:style w:type="paragraph" w:customStyle="1" w:styleId="84">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5">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7">
    <w:name w:val="列出段落1"/>
    <w:basedOn w:val="1"/>
    <w:qFormat/>
    <w:uiPriority w:val="0"/>
    <w:pPr>
      <w:ind w:firstLine="420" w:firstLineChars="200"/>
    </w:pPr>
    <w:rPr>
      <w:szCs w:val="24"/>
    </w:rPr>
  </w:style>
  <w:style w:type="paragraph" w:customStyle="1" w:styleId="88">
    <w:name w:val="正文文本缩进 31"/>
    <w:basedOn w:val="1"/>
    <w:qFormat/>
    <w:uiPriority w:val="0"/>
    <w:pPr>
      <w:spacing w:after="120"/>
      <w:ind w:left="420" w:leftChars="200"/>
    </w:pPr>
    <w:rPr>
      <w:kern w:val="0"/>
      <w:sz w:val="16"/>
      <w:szCs w:val="16"/>
    </w:rPr>
  </w:style>
  <w:style w:type="paragraph" w:customStyle="1" w:styleId="89">
    <w:name w:val="列出段落2"/>
    <w:basedOn w:val="1"/>
    <w:qFormat/>
    <w:uiPriority w:val="0"/>
    <w:pPr>
      <w:ind w:firstLine="420" w:firstLineChars="200"/>
    </w:pPr>
  </w:style>
  <w:style w:type="paragraph" w:customStyle="1" w:styleId="90">
    <w:name w:val="列出段落3"/>
    <w:basedOn w:val="1"/>
    <w:qFormat/>
    <w:uiPriority w:val="34"/>
    <w:pPr>
      <w:ind w:firstLine="420" w:firstLineChars="200"/>
    </w:pPr>
  </w:style>
  <w:style w:type="character" w:customStyle="1" w:styleId="91">
    <w:name w:val="页眉 Char"/>
    <w:link w:val="25"/>
    <w:qFormat/>
    <w:uiPriority w:val="0"/>
    <w:rPr>
      <w:sz w:val="18"/>
      <w:szCs w:val="18"/>
    </w:rPr>
  </w:style>
  <w:style w:type="character" w:customStyle="1" w:styleId="92">
    <w:name w:val="页脚 Char"/>
    <w:link w:val="24"/>
    <w:qFormat/>
    <w:uiPriority w:val="0"/>
    <w:rPr>
      <w:sz w:val="18"/>
      <w:szCs w:val="18"/>
    </w:rPr>
  </w:style>
  <w:style w:type="character" w:customStyle="1" w:styleId="93">
    <w:name w:val="标题 1 Char"/>
    <w:link w:val="2"/>
    <w:qFormat/>
    <w:uiPriority w:val="0"/>
    <w:rPr>
      <w:rFonts w:ascii="仿宋_GB2312" w:hAnsi="Times New Roman" w:eastAsia="仿宋_GB2312" w:cs="Times New Roman"/>
      <w:sz w:val="28"/>
      <w:szCs w:val="20"/>
    </w:rPr>
  </w:style>
  <w:style w:type="character" w:customStyle="1" w:styleId="94">
    <w:name w:val="标题 2 Char"/>
    <w:link w:val="3"/>
    <w:qFormat/>
    <w:uiPriority w:val="0"/>
    <w:rPr>
      <w:rFonts w:ascii="Arial" w:hAnsi="Arial" w:eastAsia="黑体" w:cs="Times New Roman"/>
      <w:b/>
      <w:bCs/>
      <w:sz w:val="32"/>
      <w:szCs w:val="32"/>
    </w:rPr>
  </w:style>
  <w:style w:type="character" w:customStyle="1" w:styleId="95">
    <w:name w:val="标题 3 Char"/>
    <w:link w:val="4"/>
    <w:qFormat/>
    <w:uiPriority w:val="0"/>
    <w:rPr>
      <w:rFonts w:ascii="Times New Roman" w:hAnsi="Times New Roman" w:eastAsia="宋体" w:cs="Times New Roman"/>
      <w:b/>
      <w:sz w:val="32"/>
      <w:szCs w:val="20"/>
    </w:rPr>
  </w:style>
  <w:style w:type="character" w:customStyle="1" w:styleId="96">
    <w:name w:val="正文文本 Char"/>
    <w:link w:val="17"/>
    <w:qFormat/>
    <w:uiPriority w:val="0"/>
    <w:rPr>
      <w:rFonts w:ascii="宋体" w:hAnsi="Times New Roman" w:eastAsia="楷体_GB2312" w:cs="Times New Roman"/>
      <w:b/>
      <w:sz w:val="72"/>
      <w:szCs w:val="20"/>
    </w:rPr>
  </w:style>
  <w:style w:type="character" w:customStyle="1" w:styleId="97">
    <w:name w:val="纯文本 Char"/>
    <w:link w:val="20"/>
    <w:qFormat/>
    <w:uiPriority w:val="0"/>
    <w:rPr>
      <w:rFonts w:ascii="宋体" w:hAnsi="Courier New" w:eastAsia="宋体" w:cs="Times New Roman"/>
      <w:szCs w:val="20"/>
    </w:rPr>
  </w:style>
  <w:style w:type="character" w:customStyle="1" w:styleId="98">
    <w:name w:val="标题 4 Char"/>
    <w:link w:val="5"/>
    <w:qFormat/>
    <w:uiPriority w:val="0"/>
    <w:rPr>
      <w:rFonts w:ascii="宋体" w:hAnsi="Arial" w:eastAsia="宋体" w:cs="Times New Roman"/>
      <w:snapToGrid w:val="0"/>
      <w:color w:val="000000"/>
      <w:kern w:val="0"/>
      <w:szCs w:val="20"/>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6 Char"/>
    <w:link w:val="8"/>
    <w:qFormat/>
    <w:uiPriority w:val="0"/>
    <w:rPr>
      <w:rFonts w:ascii="Arial" w:hAnsi="Arial" w:eastAsia="黑体" w:cs="Times New Roman"/>
      <w:b/>
      <w:bCs/>
      <w:sz w:val="24"/>
      <w:szCs w:val="24"/>
    </w:rPr>
  </w:style>
  <w:style w:type="character" w:customStyle="1" w:styleId="101">
    <w:name w:val="标题 7 Char"/>
    <w:link w:val="9"/>
    <w:qFormat/>
    <w:uiPriority w:val="0"/>
    <w:rPr>
      <w:rFonts w:ascii="Times New Roman" w:hAnsi="Times New Roman" w:eastAsia="宋体" w:cs="Times New Roman"/>
      <w:b/>
      <w:bCs/>
      <w:sz w:val="24"/>
      <w:szCs w:val="24"/>
    </w:rPr>
  </w:style>
  <w:style w:type="character" w:customStyle="1" w:styleId="102">
    <w:name w:val="标题 8 Char"/>
    <w:link w:val="10"/>
    <w:qFormat/>
    <w:uiPriority w:val="0"/>
    <w:rPr>
      <w:rFonts w:ascii="Arial" w:hAnsi="Arial" w:eastAsia="黑体" w:cs="Times New Roman"/>
      <w:sz w:val="24"/>
      <w:szCs w:val="24"/>
    </w:rPr>
  </w:style>
  <w:style w:type="character" w:customStyle="1" w:styleId="103">
    <w:name w:val="标题 9 Char"/>
    <w:link w:val="11"/>
    <w:qFormat/>
    <w:uiPriority w:val="0"/>
    <w:rPr>
      <w:rFonts w:ascii="Arial" w:hAnsi="Arial" w:eastAsia="黑体" w:cs="Times New Roman"/>
      <w:szCs w:val="21"/>
    </w:rPr>
  </w:style>
  <w:style w:type="character" w:customStyle="1" w:styleId="104">
    <w:name w:val="正文文本缩进 3 Char"/>
    <w:link w:val="27"/>
    <w:qFormat/>
    <w:uiPriority w:val="0"/>
    <w:rPr>
      <w:rFonts w:ascii="Times New Roman" w:hAnsi="Times New Roman" w:eastAsia="宋体" w:cs="Times New Roman"/>
      <w:szCs w:val="24"/>
    </w:rPr>
  </w:style>
  <w:style w:type="character" w:customStyle="1" w:styleId="105">
    <w:name w:val="正文文本缩进 Char"/>
    <w:link w:val="18"/>
    <w:qFormat/>
    <w:uiPriority w:val="0"/>
    <w:rPr>
      <w:rFonts w:ascii="Times New Roman" w:hAnsi="Times New Roman" w:eastAsia="宋体" w:cs="Times New Roman"/>
      <w:szCs w:val="24"/>
    </w:rPr>
  </w:style>
  <w:style w:type="character" w:customStyle="1" w:styleId="106">
    <w:name w:val="正文文本缩进 2 Char"/>
    <w:link w:val="22"/>
    <w:qFormat/>
    <w:uiPriority w:val="0"/>
    <w:rPr>
      <w:rFonts w:ascii="宋体-18030" w:hAnsi="宋体-18030" w:eastAsia="宋体-18030" w:cs="Times New Roman"/>
      <w:sz w:val="28"/>
      <w:szCs w:val="24"/>
    </w:rPr>
  </w:style>
  <w:style w:type="character" w:customStyle="1" w:styleId="107">
    <w:name w:val="称呼 Char"/>
    <w:link w:val="15"/>
    <w:qFormat/>
    <w:uiPriority w:val="0"/>
    <w:rPr>
      <w:rFonts w:ascii="Times New Roman" w:hAnsi="Times New Roman" w:eastAsia="宋体" w:cs="Times New Roman"/>
      <w:szCs w:val="24"/>
    </w:rPr>
  </w:style>
  <w:style w:type="character" w:customStyle="1" w:styleId="108">
    <w:name w:val="正文文本 2 Char"/>
    <w:link w:val="28"/>
    <w:qFormat/>
    <w:uiPriority w:val="0"/>
    <w:rPr>
      <w:rFonts w:ascii="Times New Roman" w:hAnsi="Times New Roman" w:eastAsia="宋体" w:cs="Times New Roman"/>
      <w:szCs w:val="24"/>
    </w:rPr>
  </w:style>
  <w:style w:type="character" w:customStyle="1" w:styleId="109">
    <w:name w:val="日期 Char"/>
    <w:link w:val="21"/>
    <w:qFormat/>
    <w:uiPriority w:val="0"/>
    <w:rPr>
      <w:rFonts w:ascii="宋体" w:hAnsi="宋体" w:eastAsia="宋体" w:cs="Times New Roman"/>
      <w:bCs/>
      <w:sz w:val="28"/>
      <w:szCs w:val="24"/>
    </w:rPr>
  </w:style>
  <w:style w:type="character" w:customStyle="1" w:styleId="110">
    <w:name w:val="正文文本 3 Char"/>
    <w:link w:val="16"/>
    <w:qFormat/>
    <w:uiPriority w:val="0"/>
    <w:rPr>
      <w:rFonts w:ascii="宋体" w:hAnsi="宋体" w:eastAsia="宋体" w:cs="Arial"/>
      <w:b/>
      <w:szCs w:val="24"/>
    </w:rPr>
  </w:style>
  <w:style w:type="character" w:customStyle="1" w:styleId="111">
    <w:name w:val="手册-正文 Char Char Char Char Char"/>
    <w:link w:val="64"/>
    <w:qFormat/>
    <w:uiPriority w:val="0"/>
    <w:rPr>
      <w:rFonts w:ascii="Times New Roman" w:hAnsi="Times New Roman" w:eastAsia="宋体" w:cs="Times New Roman"/>
      <w:kern w:val="0"/>
      <w:sz w:val="22"/>
      <w:szCs w:val="20"/>
    </w:rPr>
  </w:style>
  <w:style w:type="character" w:customStyle="1" w:styleId="112">
    <w:name w:val="标题 Char"/>
    <w:link w:val="30"/>
    <w:qFormat/>
    <w:uiPriority w:val="0"/>
    <w:rPr>
      <w:rFonts w:ascii="Arial" w:hAnsi="Arial" w:eastAsia="宋体" w:cs="Arial"/>
      <w:b/>
      <w:bCs/>
      <w:sz w:val="32"/>
      <w:szCs w:val="32"/>
    </w:rPr>
  </w:style>
  <w:style w:type="character" w:customStyle="1" w:styleId="113">
    <w:name w:val="手册-正文 Char"/>
    <w:link w:val="74"/>
    <w:qFormat/>
    <w:uiPriority w:val="0"/>
    <w:rPr>
      <w:rFonts w:ascii="Times New Roman" w:hAnsi="Times New Roman" w:eastAsia="宋体" w:cs="Times New Roman"/>
      <w:kern w:val="0"/>
      <w:szCs w:val="20"/>
    </w:rPr>
  </w:style>
  <w:style w:type="character" w:customStyle="1" w:styleId="114">
    <w:name w:val="手册-正文 Char Char Char Char Char1"/>
    <w:qFormat/>
    <w:uiPriority w:val="0"/>
    <w:rPr>
      <w:rFonts w:eastAsia="宋体"/>
      <w:sz w:val="22"/>
      <w:lang w:val="en-US" w:eastAsia="zh-CN" w:bidi="ar-SA"/>
    </w:rPr>
  </w:style>
  <w:style w:type="character" w:customStyle="1" w:styleId="115">
    <w:name w:val="批注框文本 Char"/>
    <w:link w:val="23"/>
    <w:semiHidden/>
    <w:qFormat/>
    <w:uiPriority w:val="0"/>
    <w:rPr>
      <w:rFonts w:ascii="Times New Roman" w:hAnsi="Times New Roman" w:eastAsia="宋体" w:cs="Times New Roman"/>
      <w:sz w:val="18"/>
      <w:szCs w:val="18"/>
    </w:rPr>
  </w:style>
  <w:style w:type="character" w:customStyle="1" w:styleId="116">
    <w:name w:val="unnamed1"/>
    <w:basedOn w:val="34"/>
    <w:qFormat/>
    <w:uiPriority w:val="0"/>
  </w:style>
  <w:style w:type="character" w:customStyle="1" w:styleId="117">
    <w:name w:val="文档结构图 Char"/>
    <w:link w:val="13"/>
    <w:qFormat/>
    <w:uiPriority w:val="0"/>
    <w:rPr>
      <w:rFonts w:ascii="宋体" w:hAnsi="Times New Roman" w:eastAsia="宋体" w:cs="Times New Roman"/>
      <w:sz w:val="18"/>
      <w:szCs w:val="18"/>
    </w:rPr>
  </w:style>
  <w:style w:type="character" w:customStyle="1" w:styleId="118">
    <w:name w:val="批注文字 Char"/>
    <w:link w:val="14"/>
    <w:semiHidden/>
    <w:qFormat/>
    <w:uiPriority w:val="0"/>
    <w:rPr>
      <w:rFonts w:ascii="Times New Roman" w:hAnsi="Times New Roman" w:eastAsia="宋体" w:cs="Times New Roman"/>
      <w:szCs w:val="24"/>
    </w:rPr>
  </w:style>
  <w:style w:type="character" w:customStyle="1" w:styleId="119">
    <w:name w:val="正文首行缩进 Char"/>
    <w:link w:val="31"/>
    <w:qFormat/>
    <w:uiPriority w:val="0"/>
    <w:rPr>
      <w:rFonts w:ascii="Times New Roman" w:hAnsi="Times New Roman" w:eastAsia="宋体" w:cs="Times New Roman"/>
      <w:sz w:val="72"/>
      <w:szCs w:val="24"/>
    </w:rPr>
  </w:style>
  <w:style w:type="character" w:customStyle="1" w:styleId="120">
    <w:name w:val="正文缩进 Char"/>
    <w:link w:val="6"/>
    <w:qFormat/>
    <w:uiPriority w:val="0"/>
    <w:rPr>
      <w:rFonts w:ascii="Times New Roman" w:hAnsi="Times New Roman" w:eastAsia="宋体" w:cs="Times New Roman"/>
      <w:sz w:val="24"/>
      <w:szCs w:val="20"/>
    </w:rPr>
  </w:style>
  <w:style w:type="character" w:customStyle="1" w:styleId="121">
    <w:name w:val="font51"/>
    <w:qFormat/>
    <w:uiPriority w:val="0"/>
    <w:rPr>
      <w:rFonts w:hint="default" w:ascii="Arial" w:hAnsi="Arial" w:cs="Arial"/>
      <w:color w:val="000000"/>
      <w:sz w:val="20"/>
      <w:szCs w:val="20"/>
      <w:u w:val="none"/>
    </w:rPr>
  </w:style>
  <w:style w:type="character" w:customStyle="1" w:styleId="122">
    <w:name w:val="font61"/>
    <w:qFormat/>
    <w:uiPriority w:val="0"/>
    <w:rPr>
      <w:rFonts w:hint="eastAsia" w:ascii="宋体" w:hAnsi="宋体" w:eastAsia="宋体"/>
      <w:color w:val="000000"/>
      <w:sz w:val="20"/>
      <w:szCs w:val="20"/>
      <w:u w:val="none"/>
    </w:rPr>
  </w:style>
  <w:style w:type="paragraph" w:customStyle="1" w:styleId="123">
    <w:name w:val="纯文本1"/>
    <w:basedOn w:val="1"/>
    <w:qFormat/>
    <w:uiPriority w:val="0"/>
    <w:rPr>
      <w:rFonts w:ascii="宋体"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6</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2022-08-11T08:43:56Z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