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江苏常熟农村商业银行股份有限公司</w:t>
      </w:r>
    </w:p>
    <w:p>
      <w:pPr>
        <w:tabs>
          <w:tab w:val="left" w:pos="8280"/>
        </w:tabs>
        <w:spacing w:line="480" w:lineRule="auto"/>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rPr>
        <w:t>招标编号：</w:t>
      </w:r>
      <w:r>
        <w:rPr>
          <w:rFonts w:hint="eastAsia" w:ascii="仿宋" w:hAnsi="仿宋" w:eastAsia="仿宋" w:cs="仿宋"/>
          <w:b/>
          <w:color w:val="000000"/>
          <w:sz w:val="28"/>
          <w:szCs w:val="28"/>
          <w:lang w:val="en-US" w:eastAsia="zh-CN"/>
        </w:rPr>
        <w:t>20220069</w:t>
      </w: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招标书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yellow"/>
          <w:lang w:eastAsia="zh-CN"/>
        </w:rPr>
      </w:pPr>
      <w:r>
        <w:rPr>
          <w:rFonts w:hint="eastAsia" w:ascii="仿宋" w:hAnsi="仿宋" w:eastAsia="仿宋" w:cs="仿宋"/>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rPr>
      </w:pPr>
      <w:r>
        <w:rPr>
          <w:rFonts w:hint="eastAsia" w:ascii="仿宋" w:hAnsi="仿宋" w:eastAsia="仿宋" w:cs="仿宋"/>
          <w:b w:val="0"/>
          <w:bCs/>
          <w:snapToGrid w:val="0"/>
          <w:color w:val="000000"/>
          <w:sz w:val="32"/>
          <w:szCs w:val="32"/>
          <w:highlight w:val="none"/>
          <w:lang w:val="en-US" w:eastAsia="zh-CN"/>
        </w:rPr>
        <w:t>二〇二二</w:t>
      </w:r>
      <w:r>
        <w:rPr>
          <w:rFonts w:hint="eastAsia" w:ascii="仿宋" w:hAnsi="仿宋" w:eastAsia="仿宋" w:cs="仿宋"/>
          <w:b w:val="0"/>
          <w:bCs/>
          <w:snapToGrid w:val="0"/>
          <w:color w:val="auto"/>
          <w:sz w:val="32"/>
          <w:szCs w:val="32"/>
          <w:highlight w:val="none"/>
          <w:u w:val="none"/>
          <w:lang w:eastAsia="zh-CN"/>
        </w:rPr>
        <w:t>年</w:t>
      </w:r>
      <w:r>
        <w:rPr>
          <w:rFonts w:hint="eastAsia" w:ascii="仿宋" w:hAnsi="仿宋" w:eastAsia="仿宋" w:cs="仿宋"/>
          <w:b w:val="0"/>
          <w:bCs/>
          <w:snapToGrid w:val="0"/>
          <w:color w:val="auto"/>
          <w:sz w:val="32"/>
          <w:szCs w:val="32"/>
          <w:highlight w:val="none"/>
          <w:u w:val="none"/>
          <w:lang w:val="en-US" w:eastAsia="zh-CN"/>
        </w:rPr>
        <w:t>八</w:t>
      </w:r>
      <w:r>
        <w:rPr>
          <w:rFonts w:hint="eastAsia" w:ascii="仿宋" w:hAnsi="仿宋" w:eastAsia="仿宋" w:cs="仿宋"/>
          <w:b w:val="0"/>
          <w:bCs/>
          <w:snapToGrid w:val="0"/>
          <w:color w:val="auto"/>
          <w:sz w:val="32"/>
          <w:szCs w:val="32"/>
          <w:highlight w:val="none"/>
          <w:u w:val="none"/>
        </w:rPr>
        <w:t>月</w:t>
      </w:r>
      <w:r>
        <w:rPr>
          <w:rFonts w:hint="eastAsia" w:ascii="仿宋" w:hAnsi="仿宋" w:eastAsia="仿宋" w:cs="仿宋"/>
          <w:b w:val="0"/>
          <w:bCs/>
          <w:snapToGrid w:val="0"/>
          <w:color w:val="auto"/>
          <w:sz w:val="32"/>
          <w:szCs w:val="32"/>
          <w:highlight w:val="none"/>
          <w:u w:val="none"/>
          <w:lang w:val="en-US" w:eastAsia="zh-CN"/>
        </w:rPr>
        <w:t>二十三</w:t>
      </w:r>
      <w:r>
        <w:rPr>
          <w:rFonts w:hint="eastAsia" w:ascii="仿宋" w:hAnsi="仿宋" w:eastAsia="仿宋" w:cs="仿宋"/>
          <w:b w:val="0"/>
          <w:bCs/>
          <w:snapToGrid w:val="0"/>
          <w:color w:val="auto"/>
          <w:sz w:val="32"/>
          <w:szCs w:val="32"/>
          <w:highlight w:val="none"/>
          <w:u w:val="none"/>
        </w:rPr>
        <w:t>日</w:t>
      </w:r>
      <w:r>
        <w:rPr>
          <w:rFonts w:hint="eastAsia" w:ascii="宋体" w:hAnsi="宋体"/>
          <w:b/>
          <w:bCs/>
          <w:snapToGrid w:val="0"/>
          <w:color w:val="000000"/>
          <w:sz w:val="32"/>
          <w:highlight w:val="none"/>
        </w:rPr>
        <w:br w:type="page"/>
      </w:r>
      <w:r>
        <w:rPr>
          <w:rFonts w:hint="eastAsia" w:ascii="仿宋" w:hAnsi="仿宋" w:eastAsia="仿宋" w:cs="仿宋"/>
          <w:b/>
          <w:bCs/>
          <w:snapToGrid w:val="0"/>
          <w:color w:val="000000"/>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rPr>
      </w:pPr>
    </w:p>
    <w:p>
      <w:pPr>
        <w:wordWrap w:val="0"/>
        <w:autoSpaceDE w:val="0"/>
        <w:autoSpaceDN w:val="0"/>
        <w:adjustRightInd w:val="0"/>
        <w:spacing w:line="560" w:lineRule="atLeast"/>
        <w:ind w:firstLine="624"/>
        <w:rPr>
          <w:rFonts w:hint="eastAsia" w:ascii="仿宋" w:hAnsi="仿宋" w:eastAsia="仿宋" w:cs="仿宋"/>
          <w:snapToGrid w:val="0"/>
          <w:color w:val="000000"/>
          <w:sz w:val="28"/>
        </w:rPr>
      </w:pPr>
      <w:r>
        <w:rPr>
          <w:rFonts w:hint="eastAsia" w:ascii="仿宋" w:hAnsi="仿宋" w:eastAsia="仿宋" w:cs="仿宋"/>
          <w:snapToGrid w:val="0"/>
          <w:color w:val="000000"/>
          <w:sz w:val="28"/>
        </w:rPr>
        <w:t>本招标文件专用于江苏常熟农村商业银行股份有限公司本次“</w:t>
      </w:r>
      <w:r>
        <w:rPr>
          <w:rFonts w:hint="eastAsia" w:ascii="仿宋" w:hAnsi="仿宋" w:eastAsia="仿宋" w:cs="仿宋"/>
          <w:snapToGrid w:val="0"/>
          <w:color w:val="000000"/>
          <w:sz w:val="28"/>
          <w:szCs w:val="22"/>
          <w:highlight w:val="none"/>
          <w:u w:val="single"/>
          <w:lang w:eastAsia="zh-CN"/>
        </w:rPr>
        <w:t>业务连续性管理-灾备管理平台建设项目</w:t>
      </w:r>
      <w:r>
        <w:rPr>
          <w:rFonts w:hint="eastAsia" w:ascii="仿宋" w:hAnsi="仿宋" w:eastAsia="仿宋" w:cs="仿宋"/>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 w:hAnsi="仿宋" w:eastAsia="仿宋" w:cs="仿宋"/>
          <w:b/>
          <w:bCs/>
          <w:snapToGrid w:val="0"/>
          <w:color w:val="000000"/>
          <w:sz w:val="30"/>
          <w:szCs w:val="30"/>
        </w:rPr>
      </w:pPr>
      <w:r>
        <w:rPr>
          <w:rFonts w:hint="eastAsia" w:ascii="仿宋" w:hAnsi="仿宋" w:eastAsia="仿宋" w:cs="仿宋"/>
          <w:snapToGrid w:val="0"/>
          <w:color w:val="000000"/>
        </w:rPr>
        <w:br w:type="page"/>
      </w:r>
      <w:r>
        <w:rPr>
          <w:rFonts w:hint="eastAsia" w:ascii="仿宋" w:hAnsi="仿宋" w:eastAsia="仿宋" w:cs="仿宋"/>
          <w:b/>
          <w:snapToGrid w:val="0"/>
          <w:szCs w:val="28"/>
        </w:rPr>
        <w:t>第一部分</w:t>
      </w:r>
      <w:r>
        <w:rPr>
          <w:rFonts w:hint="eastAsia" w:ascii="仿宋" w:hAnsi="仿宋" w:eastAsia="仿宋" w:cs="仿宋"/>
          <w:b/>
          <w:snapToGrid w:val="0"/>
          <w:szCs w:val="28"/>
          <w:lang w:val="en-US" w:eastAsia="zh-CN"/>
        </w:rPr>
        <w:t xml:space="preserve">  </w:t>
      </w:r>
      <w:r>
        <w:rPr>
          <w:rFonts w:hint="eastAsia" w:ascii="仿宋" w:hAnsi="仿宋" w:eastAsia="仿宋" w:cs="仿宋"/>
          <w:b/>
          <w:snapToGrid w:val="0"/>
          <w:szCs w:val="28"/>
        </w:rPr>
        <w:t>投标</w:t>
      </w:r>
      <w:bookmarkStart w:id="0" w:name="投标邀请函"/>
      <w:bookmarkEnd w:id="0"/>
      <w:r>
        <w:rPr>
          <w:rFonts w:hint="eastAsia" w:ascii="仿宋" w:hAnsi="仿宋" w:eastAsia="仿宋" w:cs="仿宋"/>
          <w:b/>
          <w:snapToGrid w:val="0"/>
          <w:szCs w:val="28"/>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lang w:eastAsia="zh-CN"/>
        </w:rPr>
      </w:pPr>
      <w:r>
        <w:rPr>
          <w:rFonts w:hint="eastAsia" w:ascii="仿宋" w:hAnsi="仿宋" w:eastAsia="仿宋" w:cs="仿宋"/>
          <w:snapToGrid w:val="0"/>
          <w:color w:val="000000"/>
          <w:sz w:val="28"/>
          <w:szCs w:val="28"/>
        </w:rPr>
        <w:t>根据</w:t>
      </w:r>
      <w:r>
        <w:rPr>
          <w:rFonts w:hint="eastAsia" w:ascii="仿宋" w:hAnsi="仿宋" w:eastAsia="仿宋" w:cs="仿宋"/>
          <w:snapToGrid w:val="0"/>
          <w:color w:val="000000"/>
          <w:sz w:val="28"/>
        </w:rPr>
        <w:t>江苏常熟农村商业银行股份有限公司</w:t>
      </w:r>
      <w:r>
        <w:rPr>
          <w:rFonts w:hint="eastAsia" w:ascii="仿宋" w:hAnsi="仿宋" w:eastAsia="仿宋" w:cs="仿宋"/>
          <w:snapToGrid w:val="0"/>
          <w:color w:val="000000"/>
          <w:sz w:val="28"/>
          <w:szCs w:val="28"/>
        </w:rPr>
        <w:t>业务发展需求，现就</w:t>
      </w:r>
      <w:r>
        <w:rPr>
          <w:rFonts w:hint="eastAsia" w:ascii="仿宋" w:hAnsi="仿宋" w:eastAsia="仿宋" w:cs="仿宋"/>
          <w:snapToGrid w:val="0"/>
          <w:color w:val="000000"/>
          <w:sz w:val="28"/>
          <w:lang w:eastAsia="zh-CN"/>
        </w:rPr>
        <w:t>我行</w:t>
      </w:r>
      <w:r>
        <w:rPr>
          <w:rFonts w:hint="eastAsia" w:ascii="仿宋" w:hAnsi="仿宋" w:eastAsia="仿宋" w:cs="仿宋"/>
          <w:snapToGrid w:val="0"/>
          <w:color w:val="000000"/>
          <w:sz w:val="28"/>
        </w:rPr>
        <w:t>“</w:t>
      </w:r>
      <w:r>
        <w:rPr>
          <w:rFonts w:hint="eastAsia" w:ascii="仿宋" w:hAnsi="仿宋" w:eastAsia="仿宋" w:cs="仿宋"/>
          <w:snapToGrid w:val="0"/>
          <w:color w:val="000000"/>
          <w:sz w:val="28"/>
          <w:szCs w:val="28"/>
          <w:highlight w:val="none"/>
          <w:u w:val="none"/>
          <w:lang w:eastAsia="zh-CN"/>
        </w:rPr>
        <w:t>业务连续性管理-灾备管理平台建设项目</w:t>
      </w:r>
      <w:r>
        <w:rPr>
          <w:rFonts w:hint="eastAsia" w:ascii="仿宋" w:hAnsi="仿宋" w:eastAsia="仿宋" w:cs="仿宋"/>
          <w:snapToGrid w:val="0"/>
          <w:color w:val="000000"/>
          <w:sz w:val="28"/>
          <w:szCs w:val="28"/>
        </w:rPr>
        <w:t>”进行招标</w:t>
      </w:r>
      <w:r>
        <w:rPr>
          <w:rFonts w:hint="eastAsia" w:ascii="仿宋" w:hAnsi="仿宋" w:eastAsia="仿宋" w:cs="仿宋"/>
          <w:snapToGrid w:val="0"/>
          <w:color w:val="000000"/>
          <w:sz w:val="28"/>
          <w:szCs w:val="28"/>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default" w:ascii="仿宋" w:hAnsi="仿宋" w:eastAsia="仿宋" w:cs="仿宋"/>
          <w:b/>
          <w:bCs/>
          <w:snapToGrid w:val="0"/>
          <w:color w:val="000000"/>
          <w:sz w:val="28"/>
          <w:szCs w:val="28"/>
          <w:highlight w:val="yellow"/>
          <w:lang w:val="en-US" w:eastAsia="zh-CN"/>
        </w:rPr>
      </w:pPr>
      <w:r>
        <w:rPr>
          <w:rFonts w:hint="eastAsia" w:ascii="仿宋" w:hAnsi="仿宋" w:eastAsia="仿宋" w:cs="仿宋"/>
          <w:b/>
          <w:bCs/>
          <w:snapToGrid w:val="0"/>
          <w:color w:val="000000"/>
          <w:sz w:val="28"/>
          <w:szCs w:val="28"/>
          <w:lang w:val="en-US" w:eastAsia="zh-CN"/>
        </w:rPr>
        <w:t>1.招标编号</w:t>
      </w:r>
      <w:r>
        <w:rPr>
          <w:rFonts w:hint="eastAsia" w:ascii="仿宋" w:hAnsi="仿宋" w:eastAsia="仿宋" w:cs="仿宋"/>
          <w:b/>
          <w:bCs/>
          <w:snapToGrid w:val="0"/>
          <w:color w:val="000000"/>
          <w:sz w:val="28"/>
          <w:szCs w:val="28"/>
          <w:highlight w:val="none"/>
          <w:lang w:val="en-US" w:eastAsia="zh-CN"/>
        </w:rPr>
        <w:t>：</w:t>
      </w:r>
      <w:r>
        <w:rPr>
          <w:rFonts w:hint="eastAsia" w:ascii="仿宋" w:hAnsi="仿宋" w:eastAsia="仿宋" w:cs="仿宋"/>
          <w:b w:val="0"/>
          <w:bCs w:val="0"/>
          <w:snapToGrid w:val="0"/>
          <w:color w:val="000000"/>
          <w:sz w:val="28"/>
          <w:szCs w:val="28"/>
          <w:highlight w:val="none"/>
          <w:lang w:val="en-US" w:eastAsia="zh-CN"/>
        </w:rPr>
        <w:t>20220069</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u w:val="single"/>
        </w:rPr>
      </w:pPr>
      <w:r>
        <w:rPr>
          <w:rFonts w:hint="eastAsia" w:ascii="仿宋" w:hAnsi="仿宋" w:eastAsia="仿宋" w:cs="仿宋"/>
          <w:b/>
          <w:bCs/>
          <w:snapToGrid w:val="0"/>
          <w:color w:val="000000"/>
          <w:sz w:val="28"/>
          <w:szCs w:val="28"/>
          <w:lang w:val="en-US" w:eastAsia="zh-CN"/>
        </w:rPr>
        <w:t>2.</w:t>
      </w:r>
      <w:r>
        <w:rPr>
          <w:rFonts w:hint="eastAsia" w:ascii="仿宋" w:hAnsi="仿宋" w:eastAsia="仿宋" w:cs="仿宋"/>
          <w:b/>
          <w:bCs/>
          <w:snapToGrid w:val="0"/>
          <w:color w:val="000000"/>
          <w:sz w:val="28"/>
          <w:szCs w:val="28"/>
        </w:rPr>
        <w:t>招标人：</w:t>
      </w:r>
      <w:r>
        <w:rPr>
          <w:rFonts w:hint="eastAsia" w:ascii="仿宋" w:hAnsi="仿宋" w:eastAsia="仿宋" w:cs="仿宋"/>
          <w:snapToGrid w:val="0"/>
          <w:color w:val="000000"/>
          <w:sz w:val="28"/>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default" w:ascii="仿宋" w:hAnsi="仿宋" w:eastAsia="仿宋" w:cs="仿宋"/>
          <w:snapToGrid w:val="0"/>
          <w:sz w:val="28"/>
          <w:szCs w:val="28"/>
          <w:lang w:val="en-US" w:eastAsia="zh-CN"/>
        </w:rPr>
      </w:pPr>
      <w:r>
        <w:rPr>
          <w:rFonts w:hint="eastAsia" w:ascii="仿宋" w:hAnsi="仿宋" w:eastAsia="仿宋" w:cs="仿宋"/>
          <w:b/>
          <w:bCs/>
          <w:snapToGrid w:val="0"/>
          <w:sz w:val="28"/>
          <w:szCs w:val="28"/>
          <w:lang w:val="en-US" w:eastAsia="zh-CN"/>
        </w:rPr>
        <w:t>3.</w:t>
      </w:r>
      <w:r>
        <w:rPr>
          <w:rFonts w:hint="eastAsia" w:ascii="仿宋" w:hAnsi="仿宋" w:eastAsia="仿宋" w:cs="仿宋"/>
          <w:b/>
          <w:bCs/>
          <w:snapToGrid w:val="0"/>
          <w:sz w:val="28"/>
          <w:szCs w:val="28"/>
        </w:rPr>
        <w:t>项目实施地点：</w:t>
      </w:r>
      <w:r>
        <w:rPr>
          <w:rFonts w:hint="eastAsia" w:ascii="仿宋" w:hAnsi="仿宋" w:eastAsia="仿宋" w:cs="仿宋"/>
          <w:b w:val="0"/>
          <w:bCs w:val="0"/>
          <w:snapToGrid w:val="0"/>
          <w:sz w:val="28"/>
          <w:szCs w:val="28"/>
          <w:highlight w:val="none"/>
          <w:lang w:eastAsia="zh-CN"/>
        </w:rPr>
        <w:t>常熟</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4.</w:t>
      </w:r>
      <w:r>
        <w:rPr>
          <w:rFonts w:hint="eastAsia" w:ascii="仿宋" w:hAnsi="仿宋" w:eastAsia="仿宋" w:cs="仿宋"/>
          <w:b/>
          <w:bCs/>
          <w:snapToGrid w:val="0"/>
          <w:sz w:val="28"/>
          <w:szCs w:val="28"/>
        </w:rPr>
        <w:t>发放标书时间：</w:t>
      </w:r>
      <w:r>
        <w:rPr>
          <w:rFonts w:hint="eastAsia" w:ascii="仿宋" w:hAnsi="仿宋" w:eastAsia="仿宋" w:cs="仿宋"/>
          <w:b/>
          <w:bCs/>
          <w:snapToGrid w:val="0"/>
          <w:sz w:val="28"/>
          <w:szCs w:val="28"/>
          <w:lang w:val="en-US" w:eastAsia="zh-CN"/>
        </w:rPr>
        <w:t xml:space="preserve"> </w:t>
      </w:r>
      <w:r>
        <w:rPr>
          <w:rFonts w:hint="eastAsia" w:ascii="仿宋" w:hAnsi="仿宋" w:eastAsia="仿宋" w:cs="仿宋"/>
          <w:snapToGrid w:val="0"/>
          <w:sz w:val="28"/>
          <w:szCs w:val="28"/>
        </w:rPr>
        <w:t>北京时间  2022年8月</w:t>
      </w:r>
      <w:r>
        <w:rPr>
          <w:rFonts w:hint="eastAsia" w:ascii="仿宋" w:hAnsi="仿宋" w:eastAsia="仿宋" w:cs="仿宋"/>
          <w:snapToGrid w:val="0"/>
          <w:sz w:val="28"/>
          <w:szCs w:val="28"/>
          <w:lang w:val="en-US" w:eastAsia="zh-CN"/>
        </w:rPr>
        <w:t>25</w:t>
      </w:r>
      <w:r>
        <w:rPr>
          <w:rFonts w:hint="eastAsia" w:ascii="仿宋" w:hAnsi="仿宋" w:eastAsia="仿宋" w:cs="仿宋"/>
          <w:snapToGrid w:val="0"/>
          <w:sz w:val="28"/>
          <w:szCs w:val="28"/>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5.</w:t>
      </w:r>
      <w:r>
        <w:rPr>
          <w:rFonts w:hint="eastAsia" w:ascii="仿宋" w:hAnsi="仿宋" w:eastAsia="仿宋" w:cs="仿宋"/>
          <w:b/>
          <w:bCs/>
          <w:snapToGrid w:val="0"/>
          <w:sz w:val="28"/>
          <w:szCs w:val="28"/>
        </w:rPr>
        <w:t>投标截止时间：</w:t>
      </w:r>
      <w:r>
        <w:rPr>
          <w:rFonts w:hint="eastAsia" w:ascii="仿宋" w:hAnsi="仿宋" w:eastAsia="仿宋" w:cs="仿宋"/>
          <w:b/>
          <w:bCs/>
          <w:snapToGrid w:val="0"/>
          <w:sz w:val="28"/>
          <w:szCs w:val="28"/>
          <w:lang w:val="en-US" w:eastAsia="zh-CN"/>
        </w:rPr>
        <w:t xml:space="preserve"> </w:t>
      </w:r>
      <w:r>
        <w:rPr>
          <w:rFonts w:hint="eastAsia" w:ascii="仿宋" w:hAnsi="仿宋" w:eastAsia="仿宋" w:cs="仿宋"/>
          <w:snapToGrid w:val="0"/>
          <w:sz w:val="28"/>
          <w:szCs w:val="28"/>
        </w:rPr>
        <w:t>北京时间  2022年</w:t>
      </w:r>
      <w:r>
        <w:rPr>
          <w:rFonts w:hint="eastAsia" w:ascii="仿宋" w:hAnsi="仿宋" w:eastAsia="仿宋" w:cs="仿宋"/>
          <w:snapToGrid w:val="0"/>
          <w:sz w:val="28"/>
          <w:szCs w:val="28"/>
          <w:lang w:val="en-US" w:eastAsia="zh-CN"/>
        </w:rPr>
        <w:t>9</w:t>
      </w:r>
      <w:r>
        <w:rPr>
          <w:rFonts w:hint="eastAsia" w:ascii="仿宋" w:hAnsi="仿宋" w:eastAsia="仿宋" w:cs="仿宋"/>
          <w:snapToGrid w:val="0"/>
          <w:sz w:val="28"/>
          <w:szCs w:val="28"/>
        </w:rPr>
        <w:t>月</w:t>
      </w:r>
      <w:r>
        <w:rPr>
          <w:rFonts w:hint="eastAsia" w:ascii="仿宋" w:hAnsi="仿宋" w:eastAsia="仿宋" w:cs="仿宋"/>
          <w:snapToGrid w:val="0"/>
          <w:sz w:val="28"/>
          <w:szCs w:val="28"/>
          <w:lang w:val="en-US" w:eastAsia="zh-CN"/>
        </w:rPr>
        <w:t>13</w:t>
      </w:r>
      <w:r>
        <w:rPr>
          <w:rFonts w:hint="eastAsia" w:ascii="仿宋" w:hAnsi="仿宋" w:eastAsia="仿宋" w:cs="仿宋"/>
          <w:snapToGrid w:val="0"/>
          <w:sz w:val="28"/>
          <w:szCs w:val="28"/>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lang w:val="en-US" w:eastAsia="zh-CN"/>
        </w:rPr>
        <w:t>6.</w:t>
      </w:r>
      <w:r>
        <w:rPr>
          <w:rFonts w:hint="eastAsia" w:ascii="仿宋" w:hAnsi="仿宋" w:eastAsia="仿宋" w:cs="仿宋"/>
          <w:b/>
          <w:bCs/>
          <w:snapToGrid w:val="0"/>
          <w:color w:val="000000"/>
          <w:sz w:val="28"/>
          <w:szCs w:val="28"/>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 xml:space="preserve">联系人： </w:t>
      </w:r>
      <w:r>
        <w:rPr>
          <w:rFonts w:hint="eastAsia" w:ascii="仿宋" w:hAnsi="仿宋" w:eastAsia="仿宋" w:cs="仿宋"/>
          <w:kern w:val="0"/>
          <w:sz w:val="28"/>
          <w:szCs w:val="28"/>
          <w:highlight w:val="none"/>
          <w:lang w:eastAsia="zh-CN"/>
        </w:rPr>
        <w:t>王路洋</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w:t>
      </w:r>
      <w:r>
        <w:rPr>
          <w:rFonts w:hint="eastAsia" w:ascii="仿宋" w:hAnsi="仿宋" w:eastAsia="仿宋" w:cs="仿宋"/>
          <w:kern w:val="0"/>
          <w:sz w:val="28"/>
          <w:szCs w:val="28"/>
        </w:rPr>
        <w:t>0512-52909235</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标书接收</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电话号码：0512-52739210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p>
    <w:p>
      <w:pPr>
        <w:pStyle w:val="2"/>
        <w:spacing w:after="240"/>
        <w:jc w:val="right"/>
        <w:rPr>
          <w:rFonts w:hint="eastAsia" w:ascii="仿宋" w:hAnsi="仿宋" w:eastAsia="仿宋" w:cs="仿宋"/>
          <w:snapToGrid w:val="0"/>
          <w:color w:val="000000"/>
          <w:sz w:val="28"/>
        </w:rPr>
      </w:pPr>
    </w:p>
    <w:p>
      <w:pPr>
        <w:pStyle w:val="2"/>
        <w:spacing w:after="240"/>
        <w:jc w:val="right"/>
        <w:rPr>
          <w:rFonts w:hint="eastAsia" w:ascii="仿宋" w:hAnsi="仿宋" w:eastAsia="仿宋" w:cs="仿宋"/>
          <w:snapToGrid w:val="0"/>
          <w:color w:val="000000"/>
          <w:sz w:val="28"/>
        </w:rPr>
      </w:pPr>
      <w:r>
        <w:rPr>
          <w:rFonts w:hint="eastAsia" w:ascii="仿宋" w:hAnsi="仿宋" w:eastAsia="仿宋" w:cs="仿宋"/>
          <w:snapToGrid w:val="0"/>
          <w:color w:val="000000"/>
          <w:sz w:val="28"/>
        </w:rPr>
        <w:t>江苏常熟农村商业银行股份有限公司</w:t>
      </w:r>
    </w:p>
    <w:p>
      <w:pPr>
        <w:pStyle w:val="2"/>
        <w:spacing w:after="240"/>
        <w:jc w:val="center"/>
        <w:rPr>
          <w:rFonts w:hint="eastAsia" w:ascii="仿宋" w:hAnsi="仿宋" w:eastAsia="仿宋" w:cs="仿宋"/>
          <w:b/>
          <w:snapToGrid w:val="0"/>
          <w:szCs w:val="28"/>
        </w:rPr>
      </w:pPr>
      <w:r>
        <w:rPr>
          <w:rFonts w:hint="eastAsia" w:ascii="宋体" w:hAnsi="宋体" w:eastAsia="宋体"/>
          <w:snapToGrid w:val="0"/>
          <w:color w:val="000000"/>
        </w:rPr>
        <w:br w:type="page"/>
      </w:r>
      <w:r>
        <w:rPr>
          <w:rFonts w:hint="eastAsia" w:ascii="仿宋" w:hAnsi="仿宋" w:eastAsia="仿宋" w:cs="仿宋"/>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本招标文件仅适用于江苏常熟农村商业银行股份有限公司（以下简称“常熟农商银行”）“</w:t>
      </w:r>
      <w:r>
        <w:rPr>
          <w:rFonts w:hint="eastAsia" w:ascii="仿宋" w:hAnsi="仿宋" w:eastAsia="仿宋" w:cs="仿宋"/>
          <w:snapToGrid w:val="0"/>
          <w:color w:val="000000"/>
          <w:sz w:val="28"/>
          <w:szCs w:val="28"/>
          <w:highlight w:val="none"/>
          <w:lang w:eastAsia="zh-CN"/>
        </w:rPr>
        <w:t>业务连续性管理-灾备管理平台建设项目</w:t>
      </w:r>
      <w:r>
        <w:rPr>
          <w:rFonts w:hint="eastAsia" w:ascii="仿宋" w:hAnsi="仿宋" w:eastAsia="仿宋" w:cs="仿宋"/>
          <w:snapToGrid w:val="0"/>
          <w:color w:val="000000"/>
          <w:sz w:val="28"/>
          <w:szCs w:val="28"/>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投标人必须为具有独立企业法人资格，具有合法名称、组织机构、固定的办公场所，注册资本要求不少于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1000</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万元人民币（或等值外币），注册时间不少于</w:t>
      </w:r>
      <w:r>
        <w:rPr>
          <w:rFonts w:hint="eastAsia" w:ascii="仿宋" w:hAnsi="仿宋" w:eastAsia="仿宋" w:cs="仿宋"/>
          <w:snapToGrid w:val="0"/>
          <w:color w:val="000000"/>
          <w:sz w:val="28"/>
          <w:szCs w:val="28"/>
          <w:highlight w:val="yellow"/>
          <w:u w:val="single"/>
        </w:rPr>
        <w:t xml:space="preserve"> 3 </w:t>
      </w:r>
      <w:r>
        <w:rPr>
          <w:rFonts w:hint="eastAsia" w:ascii="仿宋" w:hAnsi="仿宋" w:eastAsia="仿宋" w:cs="仿宋"/>
          <w:snapToGrid w:val="0"/>
          <w:color w:val="000000"/>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投标人近3年来签署过类似合同、承担过类似项目及成功案例，案例数不少于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3</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default"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b/>
          <w:bCs/>
          <w:snapToGrid w:val="0"/>
          <w:color w:val="000000"/>
          <w:sz w:val="28"/>
          <w:szCs w:val="28"/>
        </w:rPr>
        <w:t>必须按照本招标文件要求制作</w:t>
      </w:r>
      <w:r>
        <w:rPr>
          <w:rFonts w:hint="eastAsia" w:ascii="仿宋" w:hAnsi="仿宋" w:eastAsia="仿宋" w:cs="仿宋"/>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1</w:t>
      </w:r>
      <w:r>
        <w:rPr>
          <w:rFonts w:hint="eastAsia" w:ascii="仿宋" w:hAnsi="仿宋" w:eastAsia="仿宋" w:cs="仿宋"/>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说明：</w:t>
      </w:r>
      <w:r>
        <w:rPr>
          <w:rFonts w:hint="eastAsia" w:ascii="仿宋" w:hAnsi="仿宋" w:eastAsia="仿宋" w:cs="仿宋"/>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3：</w:t>
      </w:r>
      <w:r>
        <w:rPr>
          <w:rFonts w:hint="eastAsia" w:ascii="仿宋" w:hAnsi="仿宋" w:eastAsia="仿宋" w:cs="仿宋"/>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4：</w:t>
      </w:r>
      <w:r>
        <w:rPr>
          <w:rFonts w:hint="eastAsia" w:ascii="仿宋" w:hAnsi="仿宋" w:eastAsia="仿宋" w:cs="仿宋"/>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yellow"/>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lang w:eastAsia="zh-CN"/>
        </w:rPr>
        <w:t>投标人提供营业执照复印件等相关资质证明文件并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rPr>
      </w:pPr>
      <w:r>
        <w:rPr>
          <w:rFonts w:hint="eastAsia" w:ascii="仿宋_GB2312" w:hAnsi="仿宋_GB2312" w:eastAsia="仿宋_GB2312" w:cs="仿宋_GB2312"/>
          <w:snapToGrid w:val="0"/>
          <w:color w:val="FF0000"/>
          <w:sz w:val="28"/>
          <w:szCs w:val="28"/>
        </w:rPr>
        <w:t>人民币</w:t>
      </w:r>
      <w:r>
        <w:rPr>
          <w:rFonts w:hint="eastAsia" w:ascii="仿宋_GB2312" w:hAnsi="仿宋_GB2312" w:eastAsia="仿宋_GB2312" w:cs="仿宋_GB2312"/>
          <w:snapToGrid w:val="0"/>
          <w:color w:val="FF0000"/>
          <w:sz w:val="28"/>
          <w:szCs w:val="28"/>
          <w:u w:val="single"/>
          <w:lang w:val="en-US" w:eastAsia="zh-CN"/>
        </w:rPr>
        <w:t>壹万捌仟</w:t>
      </w:r>
      <w:r>
        <w:rPr>
          <w:rFonts w:hint="eastAsia" w:ascii="仿宋_GB2312" w:hAnsi="仿宋_GB2312" w:eastAsia="仿宋_GB2312" w:cs="仿宋_GB2312"/>
          <w:snapToGrid w:val="0"/>
          <w:color w:val="FF0000"/>
          <w:sz w:val="28"/>
          <w:szCs w:val="28"/>
          <w:u w:val="single"/>
        </w:rPr>
        <w:t>元</w:t>
      </w:r>
      <w:r>
        <w:rPr>
          <w:rFonts w:hint="eastAsia" w:ascii="仿宋_GB2312" w:hAnsi="仿宋_GB2312" w:eastAsia="仿宋_GB2312" w:cs="仿宋_GB2312"/>
          <w:snapToGrid w:val="0"/>
          <w:color w:val="FF0000"/>
          <w:sz w:val="28"/>
          <w:szCs w:val="28"/>
          <w:u w:val="single"/>
          <w:lang w:val="en-US" w:eastAsia="zh-CN"/>
        </w:rPr>
        <w:t>整</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7.</w:t>
      </w:r>
      <w:r>
        <w:rPr>
          <w:rFonts w:hint="default" w:ascii="仿宋_GB2312" w:hAnsi="仿宋_GB2312" w:eastAsia="仿宋_GB2312" w:cs="仿宋_GB2312"/>
          <w:snapToGrid w:val="0"/>
          <w:color w:val="000000"/>
          <w:sz w:val="28"/>
          <w:szCs w:val="28"/>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8.中标人收到中标通知书，并提交履约保证金后，</w:t>
      </w:r>
      <w:r>
        <w:rPr>
          <w:rFonts w:hint="default" w:ascii="仿宋_GB2312" w:hAnsi="仿宋_GB2312" w:eastAsia="仿宋_GB2312" w:cs="仿宋_GB2312"/>
          <w:snapToGrid w:val="0"/>
          <w:color w:val="000000"/>
          <w:sz w:val="28"/>
          <w:szCs w:val="28"/>
          <w:lang w:val="en-US" w:eastAsia="zh-CN"/>
        </w:rPr>
        <w:t>可办理投标保证金的无息退还</w:t>
      </w:r>
      <w:r>
        <w:rPr>
          <w:rFonts w:hint="eastAsia" w:ascii="仿宋_GB2312" w:hAnsi="仿宋_GB2312" w:eastAsia="仿宋_GB2312" w:cs="仿宋_GB2312"/>
          <w:snapToGrid w:val="0"/>
          <w:color w:val="000000"/>
          <w:sz w:val="28"/>
          <w:szCs w:val="28"/>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所有投标人均应派代表到场参加开标，</w:t>
      </w:r>
      <w:r>
        <w:rPr>
          <w:rFonts w:hint="eastAsia" w:ascii="仿宋" w:hAnsi="仿宋" w:eastAsia="仿宋" w:cs="仿宋"/>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开标过程由投标人进行时间不超过30分钟的讲标，必须由此项目的实施</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highlight w:val="none"/>
          <w:lang w:eastAsia="zh-CN"/>
        </w:rPr>
        <w:t>，不得随意变更</w:t>
      </w:r>
      <w:r>
        <w:rPr>
          <w:rFonts w:hint="eastAsia" w:ascii="仿宋" w:hAnsi="仿宋" w:eastAsia="仿宋" w:cs="仿宋"/>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招标人根据</w:t>
      </w:r>
      <w:r>
        <w:rPr>
          <w:rFonts w:hint="eastAsia" w:ascii="仿宋" w:hAnsi="仿宋" w:eastAsia="仿宋" w:cs="仿宋"/>
          <w:snapToGrid w:val="0"/>
          <w:color w:val="000000"/>
          <w:sz w:val="28"/>
          <w:szCs w:val="28"/>
          <w:lang w:eastAsia="zh-CN"/>
        </w:rPr>
        <w:t>包括但不限于以下</w:t>
      </w:r>
      <w:r>
        <w:rPr>
          <w:rFonts w:hint="eastAsia" w:ascii="仿宋" w:hAnsi="仿宋" w:eastAsia="仿宋" w:cs="仿宋"/>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投标人技术实力（项目经理及项目成员、售后服务能力及项目人员配置</w:t>
      </w:r>
      <w:r>
        <w:rPr>
          <w:rFonts w:hint="eastAsia" w:ascii="仿宋" w:hAnsi="仿宋" w:eastAsia="仿宋" w:cs="仿宋"/>
          <w:snapToGrid w:val="0"/>
          <w:color w:val="000000"/>
          <w:sz w:val="28"/>
          <w:szCs w:val="28"/>
          <w:lang w:eastAsia="zh-CN"/>
        </w:rPr>
        <w:t>、</w:t>
      </w:r>
      <w:r>
        <w:rPr>
          <w:rFonts w:hint="eastAsia" w:ascii="仿宋" w:hAnsi="仿宋" w:eastAsia="仿宋" w:cs="仿宋"/>
          <w:snapToGrid w:val="0"/>
          <w:color w:val="000000"/>
          <w:sz w:val="28"/>
          <w:szCs w:val="28"/>
          <w:lang w:val="en-US" w:eastAsia="zh-CN"/>
        </w:rPr>
        <w:t>POC情况等</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开标后，招标人将组织审查投标文件是否完整，是否有计算错误，文件签署</w:t>
      </w:r>
      <w:r>
        <w:rPr>
          <w:rFonts w:hint="eastAsia" w:ascii="仿宋" w:hAnsi="仿宋" w:eastAsia="仿宋" w:cs="仿宋"/>
          <w:snapToGrid w:val="0"/>
          <w:color w:val="000000"/>
          <w:sz w:val="28"/>
          <w:szCs w:val="28"/>
          <w:lang w:eastAsia="zh-CN"/>
        </w:rPr>
        <w:t>是否符合要求</w:t>
      </w:r>
      <w:r>
        <w:rPr>
          <w:rFonts w:hint="eastAsia" w:ascii="仿宋" w:hAnsi="仿宋" w:eastAsia="仿宋" w:cs="仿宋"/>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中标</w:t>
      </w:r>
      <w:r>
        <w:rPr>
          <w:rFonts w:hint="eastAsia" w:ascii="仿宋" w:hAnsi="仿宋" w:eastAsia="仿宋" w:cs="仿宋"/>
          <w:b/>
          <w:bCs/>
          <w:snapToGrid w:val="0"/>
          <w:color w:val="000000"/>
          <w:sz w:val="28"/>
          <w:szCs w:val="28"/>
          <w:lang w:eastAsia="zh-CN"/>
        </w:rPr>
        <w:t>、</w:t>
      </w:r>
      <w:r>
        <w:rPr>
          <w:rFonts w:hint="eastAsia" w:ascii="仿宋" w:hAnsi="仿宋" w:eastAsia="仿宋" w:cs="仿宋"/>
          <w:b/>
          <w:bCs/>
          <w:snapToGrid w:val="0"/>
          <w:color w:val="000000"/>
          <w:sz w:val="28"/>
          <w:szCs w:val="28"/>
          <w:lang w:val="en-US" w:eastAsia="zh-CN"/>
        </w:rPr>
        <w:t>履约保证金</w:t>
      </w:r>
      <w:r>
        <w:rPr>
          <w:rFonts w:hint="eastAsia" w:ascii="仿宋" w:hAnsi="仿宋" w:eastAsia="仿宋" w:cs="仿宋"/>
          <w:b/>
          <w:bCs/>
          <w:snapToGrid w:val="0"/>
          <w:color w:val="000000"/>
          <w:sz w:val="28"/>
          <w:szCs w:val="28"/>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（一）定标原则</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w:t>
      </w:r>
      <w:r>
        <w:rPr>
          <w:rFonts w:hint="eastAsia" w:ascii="仿宋_GB2312" w:hAnsi="仿宋_GB2312" w:eastAsia="仿宋_GB2312" w:cs="仿宋_GB2312"/>
          <w:color w:val="000000"/>
          <w:sz w:val="28"/>
          <w:szCs w:val="28"/>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（二）中标通知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yellow"/>
        </w:rPr>
      </w:pPr>
      <w:r>
        <w:rPr>
          <w:rFonts w:hint="eastAsia" w:ascii="仿宋_GB2312" w:hAnsi="仿宋_GB2312" w:eastAsia="仿宋_GB2312" w:cs="仿宋_GB2312"/>
          <w:snapToGrid w:val="0"/>
          <w:color w:val="000000"/>
          <w:sz w:val="28"/>
          <w:szCs w:val="28"/>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（三）</w:t>
      </w:r>
      <w:r>
        <w:rPr>
          <w:rFonts w:hint="eastAsia" w:ascii="仿宋_GB2312" w:hAnsi="仿宋_GB2312" w:eastAsia="仿宋_GB2312" w:cs="仿宋_GB2312"/>
          <w:b w:val="0"/>
          <w:color w:val="000000"/>
          <w:sz w:val="28"/>
          <w:szCs w:val="28"/>
          <w:lang w:val="en-US" w:eastAsia="zh-CN"/>
        </w:rPr>
        <w:t>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3.履约保证金</w:t>
      </w:r>
      <w:r>
        <w:rPr>
          <w:rFonts w:hint="eastAsia" w:ascii="仿宋_GB2312" w:hAnsi="仿宋_GB2312" w:eastAsia="仿宋_GB2312" w:cs="仿宋_GB2312"/>
          <w:snapToGrid w:val="0"/>
          <w:color w:val="000000"/>
          <w:sz w:val="28"/>
          <w:szCs w:val="28"/>
          <w:lang w:val="en-US" w:eastAsia="zh-CN"/>
        </w:rPr>
        <w:t>在</w:t>
      </w:r>
      <w:r>
        <w:rPr>
          <w:rFonts w:hint="eastAsia" w:ascii="仿宋_GB2312" w:hAnsi="仿宋_GB2312" w:eastAsia="仿宋_GB2312" w:cs="仿宋_GB2312"/>
          <w:snapToGrid w:val="0"/>
          <w:color w:val="000000"/>
          <w:sz w:val="28"/>
          <w:szCs w:val="28"/>
        </w:rPr>
        <w:t>使用电汇、网上银行转帐的形式提交</w:t>
      </w:r>
      <w:r>
        <w:rPr>
          <w:rFonts w:hint="eastAsia" w:ascii="仿宋_GB2312" w:hAnsi="仿宋_GB2312" w:eastAsia="仿宋_GB2312" w:cs="仿宋_GB2312"/>
          <w:snapToGrid w:val="0"/>
          <w:color w:val="000000"/>
          <w:sz w:val="28"/>
          <w:szCs w:val="28"/>
          <w:lang w:val="en-US" w:eastAsia="zh-CN"/>
        </w:rPr>
        <w:t>时应</w:t>
      </w:r>
      <w:r>
        <w:rPr>
          <w:rFonts w:hint="eastAsia" w:ascii="仿宋_GB2312" w:hAnsi="仿宋_GB2312" w:eastAsia="仿宋_GB2312" w:cs="仿宋_GB2312"/>
          <w:snapToGrid w:val="0"/>
          <w:color w:val="000000"/>
          <w:sz w:val="28"/>
          <w:szCs w:val="28"/>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账号：101290001022913940</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w:t>
      </w:r>
      <w:r>
        <w:rPr>
          <w:rFonts w:hint="eastAsia" w:ascii="仿宋_GB2312" w:hAnsi="仿宋_GB2312" w:eastAsia="仿宋_GB2312" w:cs="仿宋_GB2312"/>
          <w:b w:val="0"/>
          <w:snapToGrid w:val="0"/>
          <w:color w:val="000000"/>
          <w:sz w:val="28"/>
          <w:szCs w:val="28"/>
          <w:lang w:val="en-US" w:eastAsia="zh-CN"/>
        </w:rPr>
        <w:t>四</w:t>
      </w:r>
      <w:r>
        <w:rPr>
          <w:rFonts w:hint="eastAsia" w:ascii="仿宋_GB2312" w:hAnsi="仿宋_GB2312" w:eastAsia="仿宋_GB2312" w:cs="仿宋_GB2312"/>
          <w:b w:val="0"/>
          <w:snapToGrid w:val="0"/>
          <w:color w:val="000000"/>
          <w:sz w:val="28"/>
          <w:szCs w:val="28"/>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招标文件、中标方的投标文件及其澄清文件等，均为签订合同的依据。</w:t>
      </w: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pStyle w:val="2"/>
        <w:spacing w:after="240"/>
        <w:jc w:val="center"/>
        <w:rPr>
          <w:rFonts w:ascii="宋体" w:hAnsi="宋体"/>
          <w:b/>
          <w:sz w:val="28"/>
          <w:szCs w:val="28"/>
        </w:rPr>
      </w:pPr>
      <w:r>
        <w:rPr>
          <w:rFonts w:hint="eastAsia" w:ascii="宋体" w:hAnsi="宋体" w:eastAsia="宋体"/>
          <w:b/>
          <w:snapToGrid w:val="0"/>
          <w:szCs w:val="28"/>
        </w:rPr>
        <w:t xml:space="preserve">第三部分  </w:t>
      </w:r>
      <w:r>
        <w:rPr>
          <w:rFonts w:ascii="Times New Roman"/>
          <w:b/>
          <w:snapToGrid w:val="0"/>
          <w:szCs w:val="28"/>
        </w:rPr>
        <w:t>投标文件格式</w:t>
      </w:r>
    </w:p>
    <w:p>
      <w:pPr>
        <w:pStyle w:val="3"/>
        <w:spacing w:after="0" w:line="240" w:lineRule="auto"/>
        <w:jc w:val="left"/>
        <w:rPr>
          <w:rFonts w:hint="eastAsia" w:ascii="仿宋" w:hAnsi="仿宋" w:eastAsia="仿宋" w:cs="仿宋"/>
          <w:b w:val="0"/>
          <w:snapToGrid w:val="0"/>
          <w:sz w:val="28"/>
          <w:szCs w:val="28"/>
          <w:shd w:val="pct10" w:color="auto" w:fill="FFFFFF"/>
        </w:rPr>
      </w:pPr>
      <w:bookmarkStart w:id="1" w:name="_附件1：《投标书》"/>
      <w:bookmarkEnd w:id="1"/>
      <w:r>
        <w:rPr>
          <w:rFonts w:hint="eastAsia" w:ascii="仿宋" w:hAnsi="仿宋" w:eastAsia="仿宋" w:cs="仿宋"/>
          <w:b w:val="0"/>
          <w:snapToGrid w:val="0"/>
          <w:color w:val="000000"/>
          <w:sz w:val="28"/>
          <w:szCs w:val="28"/>
        </w:rPr>
        <w:t>附件1：投标书</w:t>
      </w:r>
    </w:p>
    <w:p>
      <w:pPr>
        <w:pStyle w:val="20"/>
        <w:adjustRightInd w:val="0"/>
        <w:jc w:val="center"/>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投  标  书</w:t>
      </w:r>
    </w:p>
    <w:p>
      <w:pPr>
        <w:pStyle w:val="20"/>
        <w:adjustRightInd w:val="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致：</w:t>
      </w:r>
      <w:r>
        <w:rPr>
          <w:rFonts w:hint="eastAsia" w:ascii="仿宋" w:hAnsi="仿宋" w:eastAsia="仿宋" w:cs="仿宋"/>
          <w:snapToGrid w:val="0"/>
          <w:color w:val="000000"/>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rPr>
        <w:t>招标书，投标人</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投标人同意如下：</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投标人承诺按项目投标书中项目组人员配制进场实施项目，如人员匹配率低于</w:t>
      </w:r>
      <w:r>
        <w:rPr>
          <w:rFonts w:hint="eastAsia" w:ascii="仿宋" w:hAnsi="仿宋" w:eastAsia="仿宋" w:cs="仿宋"/>
          <w:snapToGrid w:val="0"/>
          <w:color w:val="000000"/>
          <w:sz w:val="28"/>
          <w:szCs w:val="28"/>
          <w:highlight w:val="yellow"/>
          <w:u w:val="single"/>
        </w:rPr>
        <w:t>90%</w:t>
      </w:r>
      <w:r>
        <w:rPr>
          <w:rFonts w:hint="eastAsia" w:ascii="仿宋" w:hAnsi="仿宋" w:eastAsia="仿宋" w:cs="仿宋"/>
          <w:snapToGrid w:val="0"/>
          <w:color w:val="000000"/>
          <w:sz w:val="28"/>
          <w:szCs w:val="28"/>
        </w:rPr>
        <w:t>，招标人有权扣减项目中标金额的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r>
        <w:rPr>
          <w:rFonts w:hint="eastAsia" w:ascii="仿宋" w:hAnsi="仿宋" w:eastAsia="仿宋" w:cs="仿宋"/>
          <w:snapToGrid w:val="0"/>
          <w:color w:val="000000"/>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四、</w:t>
      </w:r>
      <w:r>
        <w:rPr>
          <w:rFonts w:hint="eastAsia" w:ascii="仿宋_GB2312" w:hAnsi="仿宋_GB2312" w:eastAsia="仿宋_GB2312" w:cs="仿宋_GB2312"/>
          <w:snapToGrid w:val="0"/>
          <w:color w:val="000000"/>
          <w:sz w:val="28"/>
          <w:szCs w:val="28"/>
        </w:rPr>
        <w:t>投标方</w:t>
      </w:r>
      <w:r>
        <w:rPr>
          <w:rFonts w:hint="eastAsia" w:ascii="仿宋_GB2312" w:hAnsi="仿宋_GB2312" w:eastAsia="仿宋_GB2312" w:cs="仿宋_GB2312"/>
          <w:color w:val="000000"/>
          <w:sz w:val="28"/>
        </w:rPr>
        <w:t>愿意按招标文件的规定交纳人民币</w:t>
      </w:r>
      <w:r>
        <w:rPr>
          <w:rFonts w:hint="eastAsia" w:ascii="仿宋_GB2312" w:hAnsi="仿宋_GB2312" w:eastAsia="仿宋_GB2312" w:cs="仿宋_GB2312"/>
          <w:color w:val="000000"/>
          <w:sz w:val="28"/>
          <w:lang w:val="en-US" w:eastAsia="zh-CN"/>
        </w:rPr>
        <w:t>(大写)</w:t>
      </w:r>
      <w:r>
        <w:rPr>
          <w:rFonts w:hint="eastAsia" w:ascii="仿宋_GB2312" w:hAnsi="仿宋_GB2312" w:eastAsia="仿宋_GB2312" w:cs="仿宋_GB2312"/>
          <w:color w:val="000000"/>
          <w:sz w:val="28"/>
          <w:u w:val="singl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五、</w:t>
      </w:r>
      <w:r>
        <w:rPr>
          <w:rFonts w:hint="eastAsia" w:ascii="仿宋_GB2312" w:hAnsi="仿宋_GB2312" w:eastAsia="仿宋_GB2312" w:cs="仿宋_GB2312"/>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000000"/>
          <w:sz w:val="28"/>
          <w:szCs w:val="28"/>
        </w:rPr>
      </w:pP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与本投标有关的一切正式信函使用以下地址：</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3"/>
        <w:spacing w:after="0" w:line="240" w:lineRule="auto"/>
        <w:jc w:val="left"/>
        <w:rPr>
          <w:rFonts w:hint="eastAsia" w:ascii="仿宋" w:hAnsi="仿宋" w:eastAsia="仿宋" w:cs="仿宋"/>
          <w:b w:val="0"/>
          <w:snapToGrid w:val="0"/>
          <w:color w:val="000000"/>
          <w:sz w:val="28"/>
          <w:szCs w:val="28"/>
        </w:rPr>
      </w:pPr>
      <w:r>
        <w:rPr>
          <w:rFonts w:hint="eastAsia" w:ascii="宋体" w:hAnsi="宋体" w:eastAsia="宋体"/>
          <w:b w:val="0"/>
          <w:snapToGrid w:val="0"/>
          <w:color w:val="000000"/>
          <w:sz w:val="28"/>
          <w:szCs w:val="28"/>
        </w:rPr>
        <w:br w:type="page"/>
      </w:r>
      <w:r>
        <w:rPr>
          <w:rFonts w:hint="eastAsia" w:ascii="仿宋" w:hAnsi="仿宋" w:eastAsia="仿宋" w:cs="仿宋"/>
          <w:b w:val="0"/>
          <w:snapToGrid w:val="0"/>
          <w:color w:val="000000"/>
          <w:sz w:val="28"/>
          <w:szCs w:val="28"/>
        </w:rPr>
        <w:t>附件2：法人代表授权委托书</w:t>
      </w:r>
    </w:p>
    <w:p/>
    <w:p>
      <w:pPr>
        <w:jc w:val="center"/>
        <w:rPr>
          <w:rFonts w:hint="eastAsia" w:ascii="仿宋" w:hAnsi="仿宋" w:eastAsia="仿宋" w:cs="仿宋"/>
          <w:sz w:val="32"/>
          <w:szCs w:val="32"/>
        </w:rPr>
      </w:pPr>
      <w:r>
        <w:rPr>
          <w:rFonts w:hint="eastAsia" w:ascii="仿宋" w:hAnsi="仿宋" w:eastAsia="仿宋" w:cs="仿宋"/>
          <w:b/>
          <w:snapToGrid w:val="0"/>
          <w:color w:val="000000"/>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rPr>
      </w:pPr>
      <w:r>
        <w:rPr>
          <w:rFonts w:ascii="宋体" w:hAnsi="宋体" w:cs="宋体"/>
          <w:spacing w:val="2"/>
          <w:kern w:val="0"/>
          <w:position w:val="-1"/>
          <w:sz w:val="28"/>
          <w:szCs w:val="28"/>
          <w:lang w:val="zh-CN"/>
        </w:rPr>
        <w:br w:type="page"/>
      </w:r>
      <w:r>
        <w:rPr>
          <w:rFonts w:hint="eastAsia" w:ascii="仿宋" w:hAnsi="仿宋" w:eastAsia="仿宋" w:cs="仿宋"/>
          <w:b w:val="0"/>
          <w:snapToGrid w:val="0"/>
          <w:color w:val="000000"/>
          <w:sz w:val="28"/>
          <w:szCs w:val="28"/>
        </w:rPr>
        <w:t>附件</w:t>
      </w:r>
      <w:r>
        <w:rPr>
          <w:rFonts w:hint="eastAsia" w:ascii="仿宋" w:hAnsi="仿宋" w:eastAsia="仿宋" w:cs="仿宋"/>
          <w:b w:val="0"/>
          <w:snapToGrid w:val="0"/>
          <w:color w:val="000000"/>
          <w:sz w:val="28"/>
          <w:szCs w:val="28"/>
          <w:lang w:eastAsia="zh-CN"/>
        </w:rPr>
        <w:t>３</w:t>
      </w:r>
      <w:r>
        <w:rPr>
          <w:rFonts w:hint="eastAsia" w:ascii="仿宋" w:hAnsi="仿宋" w:eastAsia="仿宋" w:cs="仿宋"/>
          <w:b w:val="0"/>
          <w:snapToGrid w:val="0"/>
          <w:color w:val="000000"/>
          <w:sz w:val="28"/>
          <w:szCs w:val="28"/>
          <w:lang w:val="en-US" w:eastAsia="zh-CN"/>
        </w:rPr>
        <w:t>：</w:t>
      </w:r>
      <w:r>
        <w:rPr>
          <w:rFonts w:hint="eastAsia" w:ascii="仿宋" w:hAnsi="仿宋" w:eastAsia="仿宋" w:cs="仿宋"/>
          <w:b w:val="0"/>
          <w:bCs/>
          <w:snapToGrid w:val="0"/>
          <w:color w:val="000000"/>
          <w:kern w:val="2"/>
          <w:sz w:val="28"/>
          <w:szCs w:val="28"/>
          <w:lang w:val="en-US" w:eastAsia="zh-CN" w:bidi="ar-SA"/>
        </w:rPr>
        <w:t>投标价格一览表【单独密封】</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投标价格</w:t>
      </w:r>
      <w:r>
        <w:rPr>
          <w:rFonts w:hint="eastAsia" w:ascii="仿宋" w:hAnsi="仿宋" w:eastAsia="仿宋" w:cs="仿宋"/>
          <w:b w:val="0"/>
          <w:bCs/>
          <w:snapToGrid w:val="0"/>
          <w:color w:val="000000"/>
          <w:kern w:val="2"/>
          <w:sz w:val="28"/>
          <w:szCs w:val="28"/>
          <w:lang w:val="en-US" w:eastAsia="zh-CN" w:bidi="ar-SA"/>
        </w:rPr>
        <w:t>一览·表</w:t>
      </w:r>
      <w:r>
        <w:rPr>
          <w:rFonts w:hint="eastAsia" w:ascii="仿宋" w:hAnsi="仿宋" w:eastAsia="仿宋" w:cs="仿宋"/>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项目总报价</w:t>
      </w:r>
      <w:r>
        <w:rPr>
          <w:rFonts w:hint="eastAsia" w:ascii="仿宋" w:hAnsi="仿宋" w:eastAsia="仿宋" w:cs="仿宋"/>
          <w:bCs/>
          <w:snapToGrid w:val="0"/>
          <w:sz w:val="28"/>
          <w:szCs w:val="28"/>
          <w:lang w:eastAsia="zh-CN"/>
        </w:rPr>
        <w:t>（人民币）</w:t>
      </w:r>
      <w:r>
        <w:rPr>
          <w:rFonts w:hint="eastAsia" w:ascii="仿宋" w:hAnsi="仿宋" w:eastAsia="仿宋" w:cs="仿宋"/>
          <w:bCs/>
          <w:snapToGrid w:val="0"/>
          <w:sz w:val="28"/>
          <w:szCs w:val="28"/>
        </w:rPr>
        <w:t>：</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lang w:eastAsia="zh-CN"/>
        </w:rPr>
        <w:t>元</w:t>
      </w:r>
      <w:r>
        <w:rPr>
          <w:rFonts w:hint="eastAsia" w:ascii="仿宋" w:hAnsi="仿宋" w:eastAsia="仿宋" w:cs="仿宋"/>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项目计划进场时间：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预计项目上线时间：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项目计划总工期：</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人月单价:</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报价明细：</w:t>
      </w:r>
    </w:p>
    <w:tbl>
      <w:tblPr>
        <w:tblStyle w:val="32"/>
        <w:tblW w:w="8618" w:type="dxa"/>
        <w:jc w:val="center"/>
        <w:tblInd w:w="0"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rPr>
            </w:pPr>
            <w:r>
              <w:rPr>
                <w:rFonts w:hint="eastAsia" w:ascii="华文仿宋" w:hAnsi="华文仿宋" w:eastAsia="华文仿宋" w:cs="华文仿宋"/>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数</w:t>
            </w:r>
            <w:r>
              <w:rPr>
                <w:rFonts w:hint="eastAsia" w:ascii="华文仿宋" w:hAnsi="华文仿宋" w:eastAsia="华文仿宋" w:cs="华文仿宋"/>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iCs/>
                <w:sz w:val="20"/>
                <w:szCs w:val="20"/>
                <w:highlight w:val="none"/>
                <w:lang w:eastAsia="zh-CN"/>
              </w:rPr>
              <w:t>软件名称</w:t>
            </w:r>
            <w:r>
              <w:rPr>
                <w:rFonts w:hint="eastAsia" w:ascii="华文仿宋" w:hAnsi="华文仿宋" w:eastAsia="华文仿宋" w:cs="华文仿宋"/>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i/>
                <w:iCs/>
                <w:sz w:val="20"/>
                <w:szCs w:val="20"/>
                <w:highlight w:val="none"/>
                <w:lang w:eastAsia="zh-CN"/>
              </w:rPr>
              <w:t>咨询</w:t>
            </w:r>
            <w:r>
              <w:rPr>
                <w:rFonts w:hint="eastAsia" w:ascii="华文仿宋" w:hAnsi="华文仿宋" w:eastAsia="华文仿宋" w:cs="华文仿宋"/>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系统（含软、硬件等）应提供免费维护期为</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至少1年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维护期内提供（</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eastAsia="zh-CN"/>
        </w:rPr>
        <w:t>驻场</w:t>
      </w:r>
      <w:r>
        <w:rPr>
          <w:rFonts w:hint="eastAsia" w:ascii="华文仿宋" w:hAnsi="华文仿宋" w:eastAsia="华文仿宋" w:cs="华文仿宋"/>
          <w:sz w:val="28"/>
          <w:szCs w:val="28"/>
          <w:highlight w:val="none"/>
          <w:lang w:val="en-US" w:eastAsia="zh-CN"/>
        </w:rPr>
        <w:t xml:space="preserve"> </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val="en-US" w:eastAsia="zh-CN"/>
        </w:rPr>
        <w:t xml:space="preserve">远程支持 </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u w:val="single"/>
          <w:lang w:val="en-US" w:eastAsia="zh-CN"/>
        </w:rPr>
        <w:t xml:space="preserve">       </w:t>
      </w:r>
      <w:r>
        <w:rPr>
          <w:rFonts w:hint="eastAsia" w:ascii="华文仿宋" w:hAnsi="华文仿宋" w:eastAsia="华文仿宋" w:cs="华文仿宋"/>
          <w:sz w:val="28"/>
          <w:szCs w:val="28"/>
          <w:highlight w:val="none"/>
          <w:lang w:eastAsia="zh-CN"/>
        </w:rPr>
        <w:t>）支持服务，</w:t>
      </w:r>
      <w:r>
        <w:rPr>
          <w:rFonts w:hint="eastAsia" w:ascii="华文仿宋" w:hAnsi="华文仿宋" w:eastAsia="华文仿宋" w:cs="华文仿宋"/>
          <w:sz w:val="28"/>
          <w:szCs w:val="28"/>
          <w:highlight w:val="none"/>
        </w:rPr>
        <w:t>维护期满后，每年度系统维护服务费用不超过项目总报价的</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lang w:val="en-US" w:eastAsia="zh-CN"/>
        </w:rPr>
        <w:t>不超10%</w:t>
      </w:r>
      <w:r>
        <w:rPr>
          <w:rFonts w:hint="eastAsia" w:ascii="华文仿宋" w:hAnsi="华文仿宋" w:eastAsia="华文仿宋" w:cs="华文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软件类系统，系统上线</w:t>
      </w:r>
      <w:r>
        <w:rPr>
          <w:rFonts w:hint="eastAsia" w:ascii="华文仿宋" w:hAnsi="华文仿宋" w:eastAsia="华文仿宋" w:cs="华文仿宋"/>
          <w:sz w:val="28"/>
          <w:szCs w:val="28"/>
          <w:highlight w:val="yellow"/>
          <w:u w:val="single"/>
        </w:rPr>
        <w:t>2</w:t>
      </w:r>
      <w:r>
        <w:rPr>
          <w:rFonts w:hint="eastAsia" w:ascii="华文仿宋" w:hAnsi="华文仿宋" w:eastAsia="华文仿宋" w:cs="华文仿宋"/>
          <w:sz w:val="28"/>
          <w:szCs w:val="28"/>
          <w:highlight w:val="none"/>
        </w:rPr>
        <w:t>年内，</w:t>
      </w:r>
      <w:r>
        <w:rPr>
          <w:rFonts w:hint="eastAsia" w:ascii="华文仿宋" w:hAnsi="华文仿宋" w:eastAsia="华文仿宋" w:cs="华文仿宋"/>
          <w:sz w:val="28"/>
          <w:szCs w:val="28"/>
          <w:highlight w:val="none"/>
          <w:lang w:eastAsia="zh-CN"/>
        </w:rPr>
        <w:t>由于功能新增</w:t>
      </w:r>
      <w:r>
        <w:rPr>
          <w:rFonts w:hint="eastAsia" w:ascii="华文仿宋" w:hAnsi="华文仿宋" w:eastAsia="华文仿宋" w:cs="华文仿宋"/>
          <w:sz w:val="28"/>
          <w:szCs w:val="28"/>
          <w:highlight w:val="none"/>
        </w:rPr>
        <w:t>经双发协商同意需要计算工作量的，</w:t>
      </w:r>
      <w:r>
        <w:rPr>
          <w:rFonts w:hint="eastAsia" w:ascii="华文仿宋" w:hAnsi="华文仿宋" w:eastAsia="华文仿宋" w:cs="华文仿宋"/>
          <w:sz w:val="28"/>
          <w:szCs w:val="28"/>
          <w:highlight w:val="none"/>
          <w:lang w:eastAsia="zh-CN"/>
        </w:rPr>
        <w:t>工作量</w:t>
      </w:r>
      <w:r>
        <w:rPr>
          <w:rFonts w:hint="eastAsia" w:ascii="华文仿宋" w:hAnsi="华文仿宋" w:eastAsia="华文仿宋" w:cs="华文仿宋"/>
          <w:sz w:val="28"/>
          <w:szCs w:val="28"/>
          <w:highlight w:val="none"/>
        </w:rPr>
        <w:t>报价不超</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元</w:t>
      </w:r>
      <w:r>
        <w:rPr>
          <w:rFonts w:hint="eastAsia" w:ascii="华文仿宋" w:hAnsi="华文仿宋" w:eastAsia="华文仿宋" w:cs="华文仿宋"/>
          <w:sz w:val="28"/>
          <w:szCs w:val="28"/>
          <w:highlight w:val="none"/>
          <w:lang w:val="en-US" w:eastAsia="zh-CN"/>
        </w:rPr>
        <w:t>/人月</w:t>
      </w:r>
      <w:r>
        <w:rPr>
          <w:rFonts w:hint="eastAsia" w:ascii="华文仿宋" w:hAnsi="华文仿宋" w:eastAsia="华文仿宋" w:cs="华文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投标人应在项目计划进场时间安排人员进场，未在期限内完成人员进场，每延迟一日，应向招标人支付相当于项目中标总金额万分之</w:t>
      </w:r>
      <w:r>
        <w:rPr>
          <w:rFonts w:hint="eastAsia" w:ascii="华文仿宋" w:hAnsi="华文仿宋" w:eastAsia="华文仿宋" w:cs="华文仿宋"/>
          <w:sz w:val="28"/>
          <w:szCs w:val="28"/>
          <w:highlight w:val="yellow"/>
          <w:u w:val="single"/>
          <w:lang w:eastAsia="zh-CN"/>
        </w:rPr>
        <w:t>五</w:t>
      </w:r>
      <w:r>
        <w:rPr>
          <w:rFonts w:hint="eastAsia" w:ascii="华文仿宋" w:hAnsi="华文仿宋" w:eastAsia="华文仿宋" w:cs="华文仿宋"/>
          <w:sz w:val="28"/>
          <w:szCs w:val="28"/>
        </w:rPr>
        <w:t>的违约金</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Cs/>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ascii="宋体" w:hAnsi="宋体" w:eastAsia="宋体"/>
          <w:b w:val="0"/>
          <w:snapToGrid w:val="0"/>
          <w:color w:val="000000"/>
          <w:sz w:val="28"/>
          <w:szCs w:val="28"/>
        </w:rPr>
      </w:pPr>
      <w:r>
        <w:rPr>
          <w:rFonts w:hint="eastAsia" w:ascii="仿宋_GB2312" w:hAnsi="仿宋_GB2312" w:eastAsia="仿宋_GB2312" w:cs="仿宋_GB2312"/>
          <w:b/>
          <w:bCs w:val="0"/>
          <w:color w:val="000000"/>
          <w:sz w:val="24"/>
          <w:szCs w:val="24"/>
          <w:u w:val="single"/>
        </w:rPr>
        <w:t>此页投标价格清单需独立密封包装，并且不要出现在投标文件其他部分中和电</w:t>
      </w:r>
      <w:bookmarkStart w:id="2" w:name="_GoBack"/>
      <w:bookmarkEnd w:id="2"/>
      <w:r>
        <w:rPr>
          <w:rFonts w:hint="eastAsia" w:ascii="仿宋_GB2312" w:hAnsi="仿宋_GB2312" w:eastAsia="仿宋_GB2312" w:cs="仿宋_GB2312"/>
          <w:b/>
          <w:bCs w:val="0"/>
          <w:color w:val="000000"/>
          <w:sz w:val="24"/>
          <w:szCs w:val="24"/>
          <w:u w:val="single"/>
        </w:rPr>
        <w:t>子版中</w:t>
      </w:r>
      <w:r>
        <w:rPr>
          <w:rFonts w:ascii="宋体" w:hAnsi="宋体"/>
          <w:sz w:val="28"/>
          <w:szCs w:val="28"/>
        </w:rPr>
        <w:br w:type="page"/>
      </w:r>
      <w:r>
        <w:rPr>
          <w:rFonts w:hint="eastAsia" w:ascii="仿宋" w:hAnsi="仿宋" w:eastAsia="仿宋" w:cs="仿宋"/>
          <w:b w:val="0"/>
          <w:snapToGrid w:val="0"/>
          <w:color w:val="000000"/>
          <w:sz w:val="28"/>
          <w:szCs w:val="28"/>
        </w:rPr>
        <w:t>附件4：投标人情况简介</w:t>
      </w:r>
    </w:p>
    <w:p>
      <w:pPr>
        <w:jc w:val="center"/>
        <w:rPr>
          <w:rFonts w:hint="default"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投标人情况简介</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投标人名称：</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地址：</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rPr>
        <w:t>邮编：</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传真／电话：</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成立日期或注册日期：</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法定代表人或主要负责人姓名：</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u w:val="single"/>
        </w:rPr>
      </w:pPr>
      <w:r>
        <w:rPr>
          <w:rFonts w:hint="eastAsia" w:ascii="华文仿宋" w:hAnsi="华文仿宋" w:eastAsia="华文仿宋" w:cs="华文仿宋"/>
          <w:snapToGrid w:val="0"/>
          <w:color w:val="000000"/>
          <w:sz w:val="28"/>
          <w:szCs w:val="28"/>
        </w:rPr>
        <w:t>注册资本：</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u w:val="single"/>
          <w:lang w:val="en-US" w:eastAsia="zh-CN"/>
        </w:rPr>
      </w:pPr>
      <w:r>
        <w:rPr>
          <w:rFonts w:hint="eastAsia" w:ascii="华文仿宋" w:hAnsi="华文仿宋" w:eastAsia="华文仿宋" w:cs="华文仿宋"/>
          <w:snapToGrid w:val="0"/>
          <w:color w:val="000000"/>
          <w:sz w:val="24"/>
          <w:szCs w:val="24"/>
          <w:lang w:eastAsia="zh-CN"/>
        </w:rPr>
        <w:t>成立</w:t>
      </w:r>
      <w:r>
        <w:rPr>
          <w:rFonts w:hint="eastAsia" w:ascii="华文仿宋" w:hAnsi="华文仿宋" w:eastAsia="华文仿宋" w:cs="华文仿宋"/>
          <w:snapToGrid w:val="0"/>
          <w:color w:val="000000"/>
          <w:sz w:val="24"/>
          <w:szCs w:val="24"/>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华文仿宋" w:hAnsi="华文仿宋" w:eastAsia="华文仿宋" w:cs="华文仿宋"/>
          <w:snapToGrid w:val="0"/>
          <w:color w:val="000000"/>
          <w:sz w:val="24"/>
          <w:szCs w:val="24"/>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lang w:eastAsia="zh-CN"/>
        </w:rPr>
      </w:pPr>
      <w:r>
        <w:rPr>
          <w:rFonts w:hint="eastAsia" w:ascii="华文仿宋" w:hAnsi="华文仿宋" w:eastAsia="华文仿宋" w:cs="华文仿宋"/>
          <w:snapToGrid w:val="0"/>
          <w:color w:val="000000"/>
          <w:sz w:val="24"/>
          <w:szCs w:val="24"/>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p>
    <w:p>
      <w:pPr>
        <w:pStyle w:val="20"/>
        <w:tabs>
          <w:tab w:val="left" w:pos="360"/>
        </w:tabs>
        <w:adjustRightInd w:val="0"/>
        <w:rPr>
          <w:rFonts w:hint="eastAsia" w:ascii="华文仿宋" w:hAnsi="华文仿宋" w:eastAsia="华文仿宋" w:cs="华文仿宋"/>
          <w:snapToGrid w:val="0"/>
          <w:color w:val="000000"/>
          <w:sz w:val="28"/>
          <w:szCs w:val="28"/>
        </w:rPr>
      </w:pP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u w:val="single"/>
          <w:lang w:val="en-US" w:eastAsia="zh-CN"/>
        </w:rPr>
      </w:pPr>
      <w:r>
        <w:rPr>
          <w:rFonts w:hint="eastAsia" w:ascii="华文仿宋" w:hAnsi="华文仿宋" w:eastAsia="华文仿宋" w:cs="华文仿宋"/>
          <w:snapToGrid w:val="0"/>
          <w:color w:val="000000"/>
          <w:sz w:val="28"/>
          <w:szCs w:val="28"/>
        </w:rPr>
        <w:t xml:space="preserve">所属集团（如有的话）： </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u w:val="single"/>
          <w:lang w:val="en-US" w:eastAsia="zh-CN"/>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kern w:val="2"/>
          <w:sz w:val="28"/>
          <w:szCs w:val="28"/>
          <w:lang w:val="en-US" w:eastAsia="zh-CN" w:bidi="ar-SA"/>
        </w:rPr>
      </w:pPr>
      <w:r>
        <w:rPr>
          <w:rFonts w:hint="eastAsia" w:ascii="华文仿宋" w:hAnsi="华文仿宋" w:eastAsia="华文仿宋" w:cs="华文仿宋"/>
          <w:snapToGrid w:val="0"/>
          <w:color w:val="000000"/>
          <w:sz w:val="28"/>
          <w:szCs w:val="28"/>
          <w:lang w:val="en-US" w:eastAsia="zh-CN"/>
        </w:rPr>
        <w:t xml:space="preserve">其它情况（组织、机构、技术力量、参与本产品的实施人员情况等）  </w:t>
      </w:r>
      <w:r>
        <w:rPr>
          <w:rFonts w:hint="eastAsia" w:ascii="华文仿宋" w:hAnsi="华文仿宋" w:eastAsia="华文仿宋" w:cs="华文仿宋"/>
          <w:snapToGrid w:val="0"/>
          <w:color w:val="000000"/>
          <w:kern w:val="2"/>
          <w:sz w:val="28"/>
          <w:szCs w:val="28"/>
          <w:lang w:val="en-US" w:eastAsia="zh-CN" w:bidi="ar-SA"/>
        </w:rPr>
        <w:t xml:space="preserve"> </w:t>
      </w:r>
    </w:p>
    <w:p>
      <w:pPr>
        <w:pStyle w:val="20"/>
        <w:numPr>
          <w:ilvl w:val="0"/>
          <w:numId w:val="0"/>
        </w:numPr>
        <w:adjustRightInd w:val="0"/>
        <w:ind w:leftChars="-166"/>
        <w:rPr>
          <w:rFonts w:hint="eastAsia" w:ascii="华文仿宋" w:hAnsi="华文仿宋" w:eastAsia="华文仿宋" w:cs="华文仿宋"/>
          <w:snapToGrid w:val="0"/>
          <w:color w:val="000000"/>
          <w:kern w:val="2"/>
          <w:sz w:val="28"/>
          <w:szCs w:val="28"/>
          <w:lang w:val="en-US" w:eastAsia="zh-CN" w:bidi="ar-SA"/>
        </w:rPr>
      </w:pPr>
    </w:p>
    <w:p>
      <w:pPr>
        <w:pStyle w:val="20"/>
        <w:widowControl w:val="0"/>
        <w:numPr>
          <w:ilvl w:val="0"/>
          <w:numId w:val="0"/>
        </w:numPr>
        <w:adjustRightInd w:val="0"/>
        <w:jc w:val="both"/>
        <w:rPr>
          <w:rFonts w:hint="eastAsia" w:ascii="华文仿宋" w:hAnsi="华文仿宋" w:eastAsia="华文仿宋" w:cs="华文仿宋"/>
          <w:snapToGrid w:val="0"/>
          <w:color w:val="000000"/>
          <w:kern w:val="2"/>
          <w:sz w:val="28"/>
          <w:szCs w:val="28"/>
          <w:lang w:val="en-US" w:eastAsia="zh-CN" w:bidi="ar-SA"/>
        </w:rPr>
      </w:pPr>
    </w:p>
    <w:p>
      <w:pPr>
        <w:pStyle w:val="123"/>
        <w:adjustRightInd w:val="0"/>
        <w:outlineLvl w:val="1"/>
        <w:rPr>
          <w:rFonts w:ascii="仿宋" w:hAnsi="仿宋" w:eastAsia="仿宋" w:cs="仿宋"/>
          <w:sz w:val="28"/>
          <w:szCs w:val="28"/>
        </w:rPr>
      </w:pPr>
      <w:r>
        <w:rPr>
          <w:rFonts w:hint="eastAsia" w:ascii="华文仿宋" w:hAnsi="华文仿宋" w:eastAsia="华文仿宋" w:cs="华文仿宋"/>
          <w:snapToGrid w:val="0"/>
          <w:color w:val="000000"/>
          <w:kern w:val="2"/>
          <w:sz w:val="28"/>
          <w:szCs w:val="28"/>
          <w:lang w:val="en-US" w:eastAsia="zh-CN" w:bidi="ar-SA"/>
        </w:rPr>
        <w:br w:type="page"/>
      </w:r>
      <w:r>
        <w:rPr>
          <w:rFonts w:hint="eastAsia" w:ascii="仿宋" w:hAnsi="仿宋" w:eastAsia="仿宋" w:cs="仿宋"/>
          <w:snapToGrid w:val="0"/>
          <w:color w:val="000000"/>
          <w:sz w:val="28"/>
          <w:szCs w:val="28"/>
        </w:rPr>
        <w:t>附件5：外包服务供应商风险信息表</w:t>
      </w:r>
    </w:p>
    <w:p>
      <w:pPr>
        <w:jc w:val="center"/>
        <w:rPr>
          <w:rFonts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tcPr>
          <w:p>
            <w:pPr>
              <w:spacing w:line="320" w:lineRule="exact"/>
              <w:jc w:val="lef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7.列举同业提供类似性质和规模的服务经验</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8.列举在最近三年的经营活动中违法违纪等不良记录（如有）</w:t>
            </w:r>
          </w:p>
        </w:tc>
        <w:tc>
          <w:tcPr>
            <w:tcW w:w="5880"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　</w:t>
            </w:r>
          </w:p>
          <w:p>
            <w:pPr>
              <w:spacing w:line="320" w:lineRule="exact"/>
              <w:rPr>
                <w:rFonts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ascii="仿宋" w:hAnsi="仿宋" w:eastAsia="仿宋" w:cs="仿宋"/>
                <w:sz w:val="24"/>
                <w:szCs w:val="24"/>
              </w:rPr>
            </w:pPr>
            <w:r>
              <w:rPr>
                <w:rFonts w:hint="eastAsia" w:ascii="仿宋" w:hAnsi="仿宋" w:eastAsia="仿宋" w:cs="仿宋"/>
                <w:sz w:val="24"/>
                <w:szCs w:val="24"/>
              </w:rPr>
              <w:t>9.提供服务供应商业务连续性安排和应急预案</w:t>
            </w:r>
          </w:p>
        </w:tc>
        <w:tc>
          <w:tcPr>
            <w:tcW w:w="5880" w:type="dxa"/>
            <w:vAlign w:val="center"/>
          </w:tcPr>
          <w:p>
            <w:pPr>
              <w:spacing w:line="320" w:lineRule="exact"/>
              <w:rPr>
                <w:rFonts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10.提供企业相关资质（如有）</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11.提供核心产品或服务</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（1）自主产品或服务：</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p>
          <w:p>
            <w:pPr>
              <w:spacing w:line="320" w:lineRule="exact"/>
              <w:rPr>
                <w:rFonts w:hint="eastAsia" w:ascii="仿宋" w:hAnsi="仿宋" w:eastAsia="仿宋" w:cs="仿宋"/>
                <w:sz w:val="24"/>
                <w:szCs w:val="24"/>
              </w:rPr>
            </w:pPr>
            <w:r>
              <w:rPr>
                <w:rFonts w:hint="eastAsia" w:ascii="仿宋" w:hAnsi="仿宋" w:eastAsia="仿宋" w:cs="仿宋"/>
                <w:sz w:val="24"/>
                <w:szCs w:val="24"/>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t xml:space="preserve">服务供应商（盖章）：                                </w:t>
            </w: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rPr>
                <w:rFonts w:ascii="仿宋" w:hAnsi="仿宋" w:eastAsia="仿宋" w:cs="仿宋"/>
                <w:sz w:val="24"/>
                <w:szCs w:val="24"/>
              </w:rPr>
            </w:pPr>
          </w:p>
          <w:p>
            <w:pPr>
              <w:spacing w:line="32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bl>
    <w:p/>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预估实施周期：60天（按工作日测算）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需求阶段：2022年9月20日</w:t>
      </w:r>
      <w:r>
        <w:rPr>
          <w:rFonts w:hint="eastAsia" w:ascii="华文仿宋" w:hAnsi="华文仿宋" w:eastAsia="华文仿宋" w:cs="华文仿宋"/>
          <w:sz w:val="24"/>
          <w:szCs w:val="24"/>
          <w:lang w:val="en-US" w:eastAsia="zh-CN"/>
        </w:rPr>
        <w:tab/>
      </w:r>
      <w:r>
        <w:rPr>
          <w:rFonts w:hint="eastAsia" w:ascii="华文仿宋" w:hAnsi="华文仿宋" w:eastAsia="华文仿宋" w:cs="华文仿宋"/>
          <w:sz w:val="24"/>
          <w:szCs w:val="24"/>
          <w:lang w:val="en-US" w:eastAsia="zh-CN"/>
        </w:rPr>
        <w:t>至2022年9 月30日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实施阶段：2022年10月8日 至2023年11月30日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firstLineChars="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验收阶段：2023年12月1日</w:t>
      </w:r>
      <w:r>
        <w:rPr>
          <w:rFonts w:hint="eastAsia" w:ascii="华文仿宋" w:hAnsi="华文仿宋" w:eastAsia="华文仿宋" w:cs="华文仿宋"/>
          <w:sz w:val="24"/>
          <w:szCs w:val="24"/>
          <w:lang w:val="en-US" w:eastAsia="zh-CN"/>
        </w:rPr>
        <w:tab/>
      </w:r>
      <w:r>
        <w:rPr>
          <w:rFonts w:hint="eastAsia" w:ascii="华文仿宋" w:hAnsi="华文仿宋" w:eastAsia="华文仿宋" w:cs="华文仿宋"/>
          <w:sz w:val="24"/>
          <w:szCs w:val="24"/>
          <w:lang w:val="en-US" w:eastAsia="zh-CN"/>
        </w:rPr>
        <w:t>至2023 年12月30日</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本项目通过建设灾备管理平台，实现灾备切换的自动化、标准化、可视化，降低人工操作风险，提高切换效率，实现灾备切换的自动、可控、安全、高效，全面提升商业银行面对突发事件时的应急处理能力。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项目内容包括不限于灾备演练方案咨询、灾备管理平台建设、灾备演练切换实施等，具体如下：</w:t>
      </w:r>
    </w:p>
    <w:p>
      <w:pPr>
        <w:numPr>
          <w:ilvl w:val="0"/>
          <w:numId w:val="24"/>
        </w:numPr>
        <w:rPr>
          <w:rFonts w:hint="eastAsia" w:ascii="仿宋" w:hAnsi="仿宋" w:eastAsia="仿宋" w:cs="仿宋"/>
          <w:sz w:val="28"/>
          <w:szCs w:val="28"/>
        </w:rPr>
      </w:pPr>
      <w:r>
        <w:rPr>
          <w:rFonts w:hint="eastAsia" w:ascii="仿宋" w:hAnsi="仿宋" w:eastAsia="仿宋" w:cs="仿宋"/>
          <w:sz w:val="28"/>
          <w:szCs w:val="28"/>
          <w:lang w:val="en-US" w:eastAsia="zh-CN"/>
        </w:rPr>
        <w:t xml:space="preserve"> 预案体系建设</w:t>
      </w:r>
    </w:p>
    <w:p>
      <w:pPr>
        <w:numPr>
          <w:ilvl w:val="0"/>
          <w:numId w:val="25"/>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预案体系建设</w:t>
      </w:r>
    </w:p>
    <w:p>
      <w:pPr>
        <w:numPr>
          <w:ilvl w:val="0"/>
          <w:numId w:val="0"/>
        </w:numPr>
        <w:ind w:leftChars="0"/>
        <w:rPr>
          <w:rFonts w:hint="eastAsia" w:ascii="仿宋" w:hAnsi="仿宋" w:eastAsia="仿宋" w:cs="仿宋"/>
          <w:sz w:val="28"/>
          <w:szCs w:val="28"/>
          <w:lang w:eastAsia="zh-CN"/>
        </w:rPr>
      </w:pPr>
      <w:r>
        <w:rPr>
          <w:rFonts w:hint="eastAsia" w:ascii="仿宋" w:hAnsi="仿宋" w:eastAsia="仿宋" w:cs="仿宋"/>
          <w:sz w:val="28"/>
          <w:szCs w:val="28"/>
        </w:rPr>
        <w:t>按照国家、银保监有关灾备的管理标准和文件，制定灾难恢复预案与相应的预案管理流程，能够依据预案要求准确使用灾备系统及各项资源进行灾难恢复。其中灾难恢复预案包括灾难恢复组织定义与灾难恢复整体流程，主要包括灾难应急响应、灾难恢复、灾后重建三个阶段的恢复流程，建立应急沟通联络机制，并对突发应急事件进行分类和定级，制定响应的应急处置策略和方法</w:t>
      </w:r>
      <w:r>
        <w:rPr>
          <w:rFonts w:hint="eastAsia" w:ascii="仿宋" w:hAnsi="仿宋" w:eastAsia="仿宋" w:cs="仿宋"/>
          <w:sz w:val="28"/>
          <w:szCs w:val="28"/>
          <w:lang w:eastAsia="zh-CN"/>
        </w:rPr>
        <w:t>。</w:t>
      </w:r>
    </w:p>
    <w:p>
      <w:pPr>
        <w:numPr>
          <w:ilvl w:val="0"/>
          <w:numId w:val="25"/>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rPr>
        <w:t>灾备恢复演练</w:t>
      </w:r>
    </w:p>
    <w:p>
      <w:pPr>
        <w:numPr>
          <w:ilvl w:val="0"/>
          <w:numId w:val="0"/>
        </w:numPr>
        <w:ind w:leftChars="0"/>
        <w:rPr>
          <w:rFonts w:hint="eastAsia" w:ascii="仿宋" w:hAnsi="仿宋" w:eastAsia="仿宋" w:cs="仿宋"/>
          <w:sz w:val="28"/>
          <w:szCs w:val="28"/>
        </w:rPr>
      </w:pPr>
      <w:r>
        <w:rPr>
          <w:rFonts w:hint="eastAsia" w:ascii="仿宋" w:hAnsi="仿宋" w:eastAsia="仿宋" w:cs="仿宋"/>
          <w:sz w:val="28"/>
          <w:szCs w:val="28"/>
          <w:lang w:eastAsia="zh-CN"/>
        </w:rPr>
        <w:t>协助改进与优化</w:t>
      </w:r>
      <w:r>
        <w:rPr>
          <w:rFonts w:hint="eastAsia" w:ascii="仿宋" w:hAnsi="仿宋" w:eastAsia="仿宋" w:cs="仿宋"/>
          <w:sz w:val="28"/>
          <w:szCs w:val="28"/>
        </w:rPr>
        <w:t>切换流程</w:t>
      </w:r>
      <w:r>
        <w:rPr>
          <w:rFonts w:hint="eastAsia" w:ascii="仿宋" w:hAnsi="仿宋" w:eastAsia="仿宋" w:cs="仿宋"/>
          <w:sz w:val="28"/>
          <w:szCs w:val="28"/>
          <w:lang w:eastAsia="zh-CN"/>
        </w:rPr>
        <w:t>、应急场景</w:t>
      </w:r>
      <w:r>
        <w:rPr>
          <w:rFonts w:hint="eastAsia" w:ascii="仿宋" w:hAnsi="仿宋" w:eastAsia="仿宋" w:cs="仿宋"/>
          <w:sz w:val="28"/>
          <w:szCs w:val="28"/>
        </w:rPr>
        <w:t>、演练流程</w:t>
      </w:r>
      <w:r>
        <w:rPr>
          <w:rFonts w:hint="eastAsia" w:ascii="仿宋" w:hAnsi="仿宋" w:eastAsia="仿宋" w:cs="仿宋"/>
          <w:sz w:val="28"/>
          <w:szCs w:val="28"/>
          <w:lang w:eastAsia="zh-CN"/>
        </w:rPr>
        <w:t>，</w:t>
      </w:r>
      <w:r>
        <w:rPr>
          <w:rFonts w:hint="eastAsia" w:ascii="仿宋" w:hAnsi="仿宋" w:eastAsia="仿宋" w:cs="仿宋"/>
          <w:sz w:val="28"/>
          <w:szCs w:val="28"/>
        </w:rPr>
        <w:t>使参演人员熟悉预案流程及演练过程，并借助容灾自动化切换管理平台完成一次演练实施并进行演练评估。</w:t>
      </w:r>
    </w:p>
    <w:p>
      <w:pPr>
        <w:numPr>
          <w:ilvl w:val="0"/>
          <w:numId w:val="24"/>
        </w:numPr>
        <w:rPr>
          <w:rFonts w:hint="eastAsia" w:ascii="仿宋" w:hAnsi="仿宋" w:eastAsia="仿宋" w:cs="仿宋"/>
          <w:sz w:val="28"/>
          <w:szCs w:val="28"/>
        </w:rPr>
      </w:pPr>
      <w:r>
        <w:rPr>
          <w:rFonts w:hint="eastAsia" w:ascii="仿宋" w:hAnsi="仿宋" w:eastAsia="仿宋" w:cs="仿宋"/>
          <w:sz w:val="28"/>
          <w:szCs w:val="28"/>
          <w:lang w:eastAsia="zh-CN"/>
        </w:rPr>
        <w:t>平台</w:t>
      </w:r>
      <w:r>
        <w:rPr>
          <w:rFonts w:hint="eastAsia" w:ascii="仿宋" w:hAnsi="仿宋" w:eastAsia="仿宋" w:cs="仿宋"/>
          <w:sz w:val="28"/>
          <w:szCs w:val="28"/>
        </w:rPr>
        <w:t>需求</w:t>
      </w:r>
    </w:p>
    <w:tbl>
      <w:tblPr>
        <w:tblStyle w:val="32"/>
        <w:tblW w:w="8420" w:type="dxa"/>
        <w:tblInd w:w="0" w:type="dxa"/>
        <w:tblLayout w:type="fixed"/>
        <w:tblCellMar>
          <w:top w:w="15" w:type="dxa"/>
          <w:left w:w="15" w:type="dxa"/>
          <w:bottom w:w="15" w:type="dxa"/>
          <w:right w:w="15" w:type="dxa"/>
        </w:tblCellMar>
      </w:tblPr>
      <w:tblGrid>
        <w:gridCol w:w="2801"/>
        <w:gridCol w:w="5619"/>
      </w:tblGrid>
      <w:tr>
        <w:tblPrEx>
          <w:tblLayout w:type="fixed"/>
          <w:tblCellMar>
            <w:top w:w="15" w:type="dxa"/>
            <w:left w:w="15" w:type="dxa"/>
            <w:bottom w:w="15" w:type="dxa"/>
            <w:right w:w="15" w:type="dxa"/>
          </w:tblCellMar>
        </w:tblPrEx>
        <w:trPr>
          <w:trHeight w:val="368"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功能项/模块</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功能描述</w:t>
            </w:r>
          </w:p>
        </w:tc>
      </w:tr>
      <w:tr>
        <w:tblPrEx>
          <w:tblLayout w:type="fixed"/>
          <w:tblCellMar>
            <w:top w:w="15" w:type="dxa"/>
            <w:left w:w="15" w:type="dxa"/>
            <w:bottom w:w="15" w:type="dxa"/>
            <w:right w:w="15" w:type="dxa"/>
          </w:tblCellMar>
        </w:tblPrEx>
        <w:trPr>
          <w:trHeight w:val="1022"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系统管理</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用户管理</w:t>
            </w:r>
            <w:r>
              <w:rPr>
                <w:rFonts w:hint="eastAsia" w:ascii="仿宋" w:hAnsi="仿宋" w:eastAsia="仿宋" w:cs="仿宋"/>
                <w:color w:val="000000"/>
                <w:kern w:val="0"/>
                <w:sz w:val="24"/>
                <w:szCs w:val="24"/>
                <w:lang w:eastAsia="zh-CN"/>
              </w:rPr>
              <w:t>、角色管理、权限管理等，支持</w:t>
            </w:r>
            <w:r>
              <w:rPr>
                <w:rFonts w:hint="eastAsia" w:ascii="仿宋" w:hAnsi="仿宋" w:eastAsia="仿宋" w:cs="仿宋"/>
                <w:color w:val="000000"/>
                <w:kern w:val="0"/>
                <w:sz w:val="24"/>
                <w:szCs w:val="24"/>
              </w:rPr>
              <w:t>登录、操作等日志的管理和审计</w:t>
            </w:r>
          </w:p>
        </w:tc>
      </w:tr>
      <w:tr>
        <w:tblPrEx>
          <w:tblLayout w:type="fixed"/>
          <w:tblCellMar>
            <w:top w:w="15" w:type="dxa"/>
            <w:left w:w="15" w:type="dxa"/>
            <w:bottom w:w="15" w:type="dxa"/>
            <w:right w:w="15" w:type="dxa"/>
          </w:tblCellMar>
        </w:tblPrEx>
        <w:trPr>
          <w:trHeight w:val="890"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预案管理</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支持预案模板的导入导出功能；</w:t>
            </w:r>
          </w:p>
          <w:p>
            <w:pPr>
              <w:widowControl/>
              <w:numPr>
                <w:ilvl w:val="0"/>
                <w:numId w:val="0"/>
              </w:numPr>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支持预案计划、预案定义、预案更新、预案审核、预案发布、预案历史等工作流程</w:t>
            </w:r>
          </w:p>
          <w:p>
            <w:pPr>
              <w:widowControl/>
              <w:numPr>
                <w:ilvl w:val="0"/>
                <w:numId w:val="0"/>
              </w:numPr>
              <w:jc w:val="left"/>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支持在线编辑，可多人协作</w:t>
            </w:r>
          </w:p>
        </w:tc>
      </w:tr>
      <w:tr>
        <w:tblPrEx>
          <w:tblLayout w:type="fixed"/>
          <w:tblCellMar>
            <w:top w:w="15" w:type="dxa"/>
            <w:left w:w="15" w:type="dxa"/>
            <w:bottom w:w="15" w:type="dxa"/>
            <w:right w:w="15" w:type="dxa"/>
          </w:tblCellMar>
        </w:tblPrEx>
        <w:trPr>
          <w:trHeight w:val="890"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演练管理</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themeColor="text1"/>
                <w:sz w:val="24"/>
                <w:szCs w:val="24"/>
                <w14:textFill>
                  <w14:solidFill>
                    <w14:schemeClr w14:val="tx1"/>
                  </w14:solidFill>
                </w14:textFill>
              </w:rPr>
              <w:t>可在平台上发起并实施演练，支持桌面演练、模拟演练和实战演练的演练模式；演练时可通过平台内的切换流程实现自动化切换；支持生成切换历史记录和报告统计能力，历史报告可通过可视化方式展示执行情况，可提供报告定制化服务，可导出报告</w:t>
            </w:r>
          </w:p>
        </w:tc>
      </w:tr>
      <w:tr>
        <w:tblPrEx>
          <w:tblLayout w:type="fixed"/>
          <w:tblCellMar>
            <w:top w:w="15" w:type="dxa"/>
            <w:left w:w="15" w:type="dxa"/>
            <w:bottom w:w="15" w:type="dxa"/>
            <w:right w:w="15" w:type="dxa"/>
          </w:tblCellMar>
        </w:tblPrEx>
        <w:trPr>
          <w:trHeight w:val="607"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CN"/>
              </w:rPr>
              <w:t>灾备</w:t>
            </w:r>
            <w:r>
              <w:rPr>
                <w:rFonts w:hint="eastAsia" w:ascii="仿宋" w:hAnsi="仿宋" w:eastAsia="仿宋" w:cs="仿宋"/>
                <w:color w:val="000000"/>
                <w:kern w:val="0"/>
                <w:sz w:val="24"/>
                <w:szCs w:val="24"/>
              </w:rPr>
              <w:t>切换</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6"/>
              </w:numPr>
              <w:jc w:val="left"/>
              <w:textAlignment w:val="center"/>
              <w:rPr>
                <w:rFonts w:hint="eastAsia" w:ascii="仿宋" w:hAnsi="仿宋" w:eastAsia="仿宋" w:cs="仿宋"/>
                <w:color w:val="000000"/>
                <w:sz w:val="24"/>
                <w:szCs w:val="24"/>
              </w:rPr>
            </w:pPr>
            <w:r>
              <w:rPr>
                <w:rFonts w:hint="eastAsia" w:ascii="仿宋" w:hAnsi="仿宋" w:eastAsia="仿宋" w:cs="仿宋"/>
                <w:color w:val="000000" w:themeColor="text1"/>
                <w:sz w:val="24"/>
                <w:szCs w:val="24"/>
                <w14:textFill>
                  <w14:solidFill>
                    <w14:schemeClr w14:val="tx1"/>
                  </w14:solidFill>
                </w14:textFill>
              </w:rPr>
              <w:t>支持在多种场景（整体切换、单系统切换等）下的灾备系统“一键式”自动切换，在统一管理界面内实现整体的灾备系统切换管理</w:t>
            </w:r>
          </w:p>
          <w:p>
            <w:pPr>
              <w:widowControl/>
              <w:numPr>
                <w:ilvl w:val="0"/>
                <w:numId w:val="26"/>
              </w:numPr>
              <w:jc w:val="left"/>
              <w:textAlignment w:val="center"/>
              <w:rPr>
                <w:rFonts w:hint="eastAsia" w:ascii="仿宋" w:hAnsi="仿宋" w:eastAsia="仿宋" w:cs="仿宋"/>
                <w:color w:val="000000"/>
                <w:sz w:val="24"/>
                <w:szCs w:val="24"/>
              </w:rPr>
            </w:pPr>
            <w:r>
              <w:rPr>
                <w:rFonts w:hint="eastAsia" w:ascii="仿宋" w:hAnsi="仿宋" w:eastAsia="仿宋" w:cs="仿宋"/>
                <w:color w:val="000000" w:themeColor="text1"/>
                <w:sz w:val="24"/>
                <w:szCs w:val="24"/>
                <w14:textFill>
                  <w14:solidFill>
                    <w14:schemeClr w14:val="tx1"/>
                  </w14:solidFill>
                </w14:textFill>
              </w:rPr>
              <w:t>切换过程中，可随时对切换进行暂停、停止、回退等操作。对出现问题的步骤可进行重试、跳过等操作；对于一些无法实现自动化的步骤，可配置交互步骤，通过人工交互操作完成步骤</w:t>
            </w:r>
          </w:p>
          <w:p>
            <w:pPr>
              <w:widowControl/>
              <w:numPr>
                <w:ilvl w:val="0"/>
                <w:numId w:val="26"/>
              </w:numPr>
              <w:jc w:val="left"/>
              <w:textAlignment w:val="center"/>
              <w:rPr>
                <w:rFonts w:hint="eastAsia" w:ascii="仿宋" w:hAnsi="仿宋" w:eastAsia="仿宋" w:cs="仿宋"/>
                <w:color w:val="000000"/>
                <w:sz w:val="24"/>
                <w:szCs w:val="24"/>
              </w:rPr>
            </w:pPr>
            <w:r>
              <w:rPr>
                <w:rFonts w:hint="eastAsia" w:ascii="仿宋" w:hAnsi="仿宋" w:eastAsia="仿宋" w:cs="仿宋"/>
                <w:color w:val="000000" w:themeColor="text1"/>
                <w:sz w:val="24"/>
                <w:szCs w:val="24"/>
                <w14:textFill>
                  <w14:solidFill>
                    <w14:schemeClr w14:val="tx1"/>
                  </w14:solidFill>
                </w14:textFill>
              </w:rPr>
              <w:t>平台支持生成切换历史记录和报告统计能力</w:t>
            </w:r>
          </w:p>
        </w:tc>
      </w:tr>
      <w:tr>
        <w:tblPrEx>
          <w:tblLayout w:type="fixed"/>
          <w:tblCellMar>
            <w:top w:w="15" w:type="dxa"/>
            <w:left w:w="15" w:type="dxa"/>
            <w:bottom w:w="15" w:type="dxa"/>
            <w:right w:w="15" w:type="dxa"/>
          </w:tblCellMar>
        </w:tblPrEx>
        <w:trPr>
          <w:trHeight w:val="607"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场景管理</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themeColor="text1"/>
                <w:sz w:val="24"/>
                <w:szCs w:val="24"/>
                <w14:textFill>
                  <w14:solidFill>
                    <w14:schemeClr w14:val="tx1"/>
                  </w14:solidFill>
                </w14:textFill>
              </w:rPr>
              <w:t>场景管理具备定义、审核、修改、发布、验证等工作流程</w:t>
            </w:r>
            <w:r>
              <w:rPr>
                <w:rFonts w:hint="eastAsia" w:ascii="仿宋" w:hAnsi="仿宋" w:eastAsia="仿宋" w:cs="仿宋"/>
                <w:color w:val="000000" w:themeColor="text1"/>
                <w:sz w:val="24"/>
                <w:szCs w:val="24"/>
                <w:lang w:eastAsia="zh-CN"/>
                <w14:textFill>
                  <w14:solidFill>
                    <w14:schemeClr w14:val="tx1"/>
                  </w14:solidFill>
                </w14:textFill>
              </w:rPr>
              <w:t>，支持</w:t>
            </w:r>
            <w:r>
              <w:rPr>
                <w:rFonts w:hint="eastAsia" w:ascii="仿宋" w:hAnsi="仿宋" w:eastAsia="仿宋" w:cs="仿宋"/>
                <w:color w:val="000000"/>
                <w:kern w:val="0"/>
                <w:sz w:val="24"/>
                <w:szCs w:val="24"/>
              </w:rPr>
              <w:t>可视化流程配置</w:t>
            </w:r>
            <w:r>
              <w:rPr>
                <w:rFonts w:hint="eastAsia" w:ascii="仿宋" w:hAnsi="仿宋" w:eastAsia="仿宋" w:cs="仿宋"/>
                <w:color w:val="000000"/>
                <w:kern w:val="0"/>
                <w:sz w:val="24"/>
                <w:szCs w:val="24"/>
                <w:lang w:eastAsia="zh-CN"/>
              </w:rPr>
              <w:t>，提供快速场景验证通道</w:t>
            </w:r>
          </w:p>
        </w:tc>
      </w:tr>
      <w:tr>
        <w:tblPrEx>
          <w:tblLayout w:type="fixed"/>
          <w:tblCellMar>
            <w:top w:w="15" w:type="dxa"/>
            <w:left w:w="15" w:type="dxa"/>
            <w:bottom w:w="15" w:type="dxa"/>
            <w:right w:w="15" w:type="dxa"/>
          </w:tblCellMar>
        </w:tblPrEx>
        <w:trPr>
          <w:trHeight w:val="607"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脚本管理</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支持在平台上对切换脚本统一管理，支持多种脚本语言；支持对脚本分组管理，提供脚本的增、删、改、查、脚本克隆等功能，支持脚本操作的权限管理。</w:t>
            </w:r>
          </w:p>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对常见的标准型组件提供标准化的开箱即用脚本。</w:t>
            </w:r>
          </w:p>
          <w:p>
            <w:pPr>
              <w:widowControl/>
              <w:jc w:val="lef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对统一的、规范的多组件切换操作进行共用的脚本框架设计与使用，具备脚本复用及参数化的能力</w:t>
            </w:r>
          </w:p>
        </w:tc>
      </w:tr>
      <w:tr>
        <w:tblPrEx>
          <w:tblLayout w:type="fixed"/>
          <w:tblCellMar>
            <w:top w:w="15" w:type="dxa"/>
            <w:left w:w="15" w:type="dxa"/>
            <w:bottom w:w="15" w:type="dxa"/>
            <w:right w:w="15" w:type="dxa"/>
          </w:tblCellMar>
        </w:tblPrEx>
        <w:trPr>
          <w:trHeight w:val="607"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sz w:val="24"/>
                <w:szCs w:val="24"/>
              </w:rPr>
              <w:t>大屏展示</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仿宋"/>
                <w:color w:val="000000"/>
                <w:kern w:val="0"/>
                <w:sz w:val="24"/>
                <w:szCs w:val="24"/>
              </w:rPr>
            </w:pPr>
            <w:r>
              <w:rPr>
                <w:rFonts w:hint="eastAsia" w:ascii="仿宋" w:hAnsi="仿宋" w:eastAsia="仿宋" w:cs="仿宋"/>
                <w:color w:val="000000" w:themeColor="text1"/>
                <w:sz w:val="24"/>
                <w:szCs w:val="24"/>
                <w14:textFill>
                  <w14:solidFill>
                    <w14:schemeClr w14:val="tx1"/>
                  </w14:solidFill>
                </w14:textFill>
              </w:rPr>
              <w:t>提供多维度、多层级的切换展示大屏，包括领导大屏、指挥大屏、应急指挥大屏等，大屏的样式、内容可根据需要进行定制化开发</w:t>
            </w:r>
          </w:p>
        </w:tc>
      </w:tr>
      <w:tr>
        <w:tblPrEx>
          <w:tblLayout w:type="fixed"/>
          <w:tblCellMar>
            <w:top w:w="15" w:type="dxa"/>
            <w:left w:w="15" w:type="dxa"/>
            <w:bottom w:w="15" w:type="dxa"/>
            <w:right w:w="15" w:type="dxa"/>
          </w:tblCellMar>
        </w:tblPrEx>
        <w:trPr>
          <w:trHeight w:val="695" w:hRule="atLeast"/>
        </w:trPr>
        <w:tc>
          <w:tcPr>
            <w:tcW w:w="28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第三方</w:t>
            </w:r>
            <w:r>
              <w:rPr>
                <w:rFonts w:hint="eastAsia" w:ascii="仿宋" w:hAnsi="仿宋" w:eastAsia="仿宋" w:cs="仿宋"/>
                <w:color w:val="000000"/>
                <w:kern w:val="0"/>
                <w:sz w:val="24"/>
                <w:szCs w:val="24"/>
                <w:lang w:eastAsia="zh-CN"/>
              </w:rPr>
              <w:t>接口集成</w:t>
            </w:r>
          </w:p>
        </w:tc>
        <w:tc>
          <w:tcPr>
            <w:tcW w:w="5619"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与自动化运维平台、</w:t>
            </w:r>
            <w:r>
              <w:rPr>
                <w:rFonts w:hint="eastAsia" w:ascii="仿宋" w:hAnsi="仿宋" w:eastAsia="仿宋" w:cs="仿宋"/>
                <w:color w:val="000000"/>
                <w:sz w:val="24"/>
                <w:szCs w:val="24"/>
                <w:lang w:val="en-US" w:eastAsia="zh-CN"/>
              </w:rPr>
              <w:t>CMDB等行方现有系统对接</w:t>
            </w:r>
          </w:p>
        </w:tc>
      </w:tr>
    </w:tbl>
    <w:p>
      <w:pPr>
        <w:numPr>
          <w:ilvl w:val="0"/>
          <w:numId w:val="24"/>
        </w:numPr>
        <w:rPr>
          <w:rFonts w:hint="eastAsia" w:ascii="仿宋" w:hAnsi="仿宋" w:eastAsia="仿宋" w:cs="仿宋"/>
          <w:sz w:val="28"/>
          <w:szCs w:val="28"/>
        </w:rPr>
      </w:pPr>
      <w:r>
        <w:rPr>
          <w:rFonts w:hint="eastAsia" w:ascii="仿宋" w:hAnsi="仿宋" w:eastAsia="仿宋" w:cs="仿宋"/>
          <w:sz w:val="28"/>
          <w:szCs w:val="28"/>
          <w:lang w:eastAsia="zh-CN"/>
        </w:rPr>
        <w:t>实施与服务需求</w:t>
      </w:r>
    </w:p>
    <w:p>
      <w:pPr>
        <w:numPr>
          <w:ilvl w:val="0"/>
          <w:numId w:val="27"/>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服务要求</w:t>
      </w:r>
    </w:p>
    <w:p>
      <w:pPr>
        <w:widowControl/>
        <w:numPr>
          <w:ilvl w:val="0"/>
          <w:numId w:val="28"/>
        </w:numPr>
        <w:ind w:left="0" w:leftChars="0" w:firstLine="0" w:firstLineChars="0"/>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平台纳管不少于</w:t>
      </w:r>
      <w:r>
        <w:rPr>
          <w:rFonts w:hint="eastAsia" w:ascii="仿宋" w:hAnsi="仿宋" w:eastAsia="仿宋" w:cs="仿宋"/>
          <w:color w:val="000000"/>
          <w:sz w:val="28"/>
          <w:szCs w:val="28"/>
          <w:lang w:val="en-US" w:eastAsia="zh-CN"/>
        </w:rPr>
        <w:t>11套业务系统（核心、信用卡、理财、IC卡、手机银行、网上银行、二代支付、柜面、聚合收单、网联、国结）。</w:t>
      </w:r>
    </w:p>
    <w:p>
      <w:pPr>
        <w:widowControl/>
        <w:numPr>
          <w:ilvl w:val="0"/>
          <w:numId w:val="28"/>
        </w:numPr>
        <w:ind w:left="0" w:leftChars="0" w:firstLine="0" w:firstLineChars="0"/>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本项目自验收通过后，原厂提供免费维保一年。</w:t>
      </w:r>
    </w:p>
    <w:p>
      <w:pPr>
        <w:widowControl/>
        <w:numPr>
          <w:ilvl w:val="0"/>
          <w:numId w:val="28"/>
        </w:numPr>
        <w:ind w:left="0" w:leftChars="0" w:firstLine="0" w:firstLineChars="0"/>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每年至少提供一次现场服务，配合行方实施灾备演练。</w:t>
      </w:r>
    </w:p>
    <w:p>
      <w:pPr>
        <w:numPr>
          <w:ilvl w:val="0"/>
          <w:numId w:val="27"/>
        </w:numPr>
        <w:ind w:left="425" w:leftChars="0" w:hanging="425" w:firstLineChars="0"/>
        <w:rPr>
          <w:rFonts w:hint="eastAsia" w:ascii="仿宋" w:hAnsi="仿宋" w:eastAsia="仿宋" w:cs="仿宋"/>
          <w:sz w:val="28"/>
          <w:szCs w:val="28"/>
        </w:rPr>
      </w:pPr>
      <w:r>
        <w:rPr>
          <w:rFonts w:hint="eastAsia" w:ascii="仿宋" w:hAnsi="仿宋" w:eastAsia="仿宋" w:cs="仿宋"/>
          <w:sz w:val="28"/>
          <w:szCs w:val="28"/>
          <w:lang w:val="en-US" w:eastAsia="zh-CN"/>
        </w:rPr>
        <w:t>人员资质</w:t>
      </w:r>
    </w:p>
    <w:p>
      <w:pPr>
        <w:widowControl/>
        <w:numPr>
          <w:ilvl w:val="0"/>
          <w:numId w:val="29"/>
        </w:numPr>
        <w:ind w:left="0" w:leftChars="0" w:firstLine="0" w:firstLineChars="0"/>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专职驻场项目经理一名，实施人员不少于两名。</w:t>
      </w:r>
    </w:p>
    <w:p>
      <w:pPr>
        <w:widowControl/>
        <w:numPr>
          <w:ilvl w:val="0"/>
          <w:numId w:val="29"/>
        </w:numPr>
        <w:ind w:left="0" w:leftChars="0" w:firstLine="0" w:firstLineChars="0"/>
        <w:jc w:val="left"/>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实施人员必须至少拥有一项主机</w:t>
      </w:r>
      <w:r>
        <w:rPr>
          <w:rFonts w:hint="eastAsia" w:ascii="仿宋" w:hAnsi="仿宋" w:eastAsia="仿宋" w:cs="仿宋"/>
          <w:color w:val="000000"/>
          <w:sz w:val="28"/>
          <w:szCs w:val="28"/>
          <w:lang w:val="en-US" w:eastAsia="zh-CN"/>
        </w:rPr>
        <w:t>/数据库/存储等相关领域的</w:t>
      </w:r>
      <w:r>
        <w:rPr>
          <w:rFonts w:hint="eastAsia" w:ascii="仿宋" w:hAnsi="仿宋" w:eastAsia="仿宋" w:cs="仿宋"/>
          <w:color w:val="000000"/>
          <w:sz w:val="28"/>
          <w:szCs w:val="28"/>
          <w:lang w:eastAsia="zh-CN"/>
        </w:rPr>
        <w:t>专业认证。</w:t>
      </w:r>
    </w:p>
    <w:p>
      <w:pPr>
        <w:numPr>
          <w:ilvl w:val="0"/>
          <w:numId w:val="0"/>
        </w:numPr>
        <w:rPr>
          <w:rFonts w:hint="eastAsia" w:ascii="仿宋" w:hAnsi="仿宋" w:eastAsia="仿宋" w:cs="仿宋"/>
          <w:sz w:val="24"/>
          <w:szCs w:val="24"/>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4、投标方应在产品上线后提供</w:t>
      </w:r>
      <w:r>
        <w:rPr>
          <w:rFonts w:hint="eastAsia" w:ascii="仿宋" w:hAnsi="仿宋" w:eastAsia="仿宋" w:cs="仿宋"/>
          <w:sz w:val="28"/>
          <w:szCs w:val="28"/>
          <w:highlight w:val="none"/>
          <w:lang w:val="en-US" w:eastAsia="zh-CN"/>
        </w:rPr>
        <w:t>合同约定范围内的全部源码（含</w:t>
      </w:r>
      <w:r>
        <w:rPr>
          <w:rFonts w:hint="eastAsia" w:ascii="仿宋" w:hAnsi="仿宋" w:eastAsia="仿宋" w:cs="仿宋"/>
          <w:sz w:val="28"/>
          <w:szCs w:val="28"/>
          <w:lang w:val="en-US" w:eastAsia="zh-CN"/>
        </w:rPr>
        <w:t>必须的代码注释）、项目文档（包括但不限于技术白皮书、需求文档、设计（数据库、接口）文档、部署手册、维护手册）等。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投标方</w:t>
      </w:r>
      <w:r>
        <w:rPr>
          <w:rFonts w:hint="eastAsia" w:ascii="仿宋" w:hAnsi="仿宋" w:eastAsia="仿宋" w:cs="仿宋"/>
          <w:sz w:val="28"/>
          <w:szCs w:val="28"/>
        </w:rPr>
        <w:t>提供产品</w:t>
      </w:r>
      <w:r>
        <w:rPr>
          <w:rFonts w:hint="eastAsia" w:ascii="仿宋" w:hAnsi="仿宋" w:eastAsia="仿宋" w:cs="仿宋"/>
          <w:sz w:val="28"/>
          <w:szCs w:val="28"/>
          <w:lang w:eastAsia="zh-CN"/>
        </w:rPr>
        <w:t>或</w:t>
      </w:r>
      <w:r>
        <w:rPr>
          <w:rFonts w:hint="eastAsia" w:ascii="仿宋" w:hAnsi="仿宋" w:eastAsia="仿宋" w:cs="仿宋"/>
          <w:sz w:val="28"/>
          <w:szCs w:val="28"/>
        </w:rPr>
        <w:t>服务中涉及</w:t>
      </w:r>
      <w:r>
        <w:rPr>
          <w:rFonts w:hint="eastAsia" w:ascii="仿宋" w:hAnsi="仿宋" w:eastAsia="仿宋" w:cs="仿宋"/>
          <w:sz w:val="28"/>
          <w:szCs w:val="28"/>
          <w:lang w:eastAsia="zh-CN"/>
        </w:rPr>
        <w:t>包括但不限于</w:t>
      </w:r>
      <w:r>
        <w:rPr>
          <w:rFonts w:hint="eastAsia" w:ascii="仿宋" w:hAnsi="仿宋" w:eastAsia="仿宋" w:cs="仿宋"/>
          <w:sz w:val="28"/>
          <w:szCs w:val="28"/>
        </w:rPr>
        <w:t>第三方软件</w:t>
      </w:r>
      <w:r>
        <w:rPr>
          <w:rFonts w:hint="eastAsia" w:ascii="仿宋" w:hAnsi="仿宋" w:eastAsia="仿宋" w:cs="仿宋"/>
          <w:sz w:val="28"/>
          <w:szCs w:val="28"/>
          <w:lang w:eastAsia="zh-CN"/>
        </w:rPr>
        <w:t>、第三方组件、插件、控件等，</w:t>
      </w:r>
      <w:r>
        <w:rPr>
          <w:rFonts w:hint="eastAsia" w:ascii="仿宋" w:hAnsi="仿宋" w:eastAsia="仿宋" w:cs="仿宋"/>
          <w:sz w:val="28"/>
          <w:szCs w:val="28"/>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开源协议选择</w:t>
      </w:r>
      <w:r>
        <w:rPr>
          <w:rFonts w:hint="eastAsia" w:ascii="仿宋" w:hAnsi="仿宋" w:eastAsia="仿宋" w:cs="仿宋"/>
          <w:sz w:val="28"/>
          <w:szCs w:val="28"/>
          <w:lang w:eastAsia="zh-CN"/>
        </w:rPr>
        <w:t>：应</w:t>
      </w:r>
      <w:r>
        <w:rPr>
          <w:rFonts w:hint="eastAsia" w:ascii="仿宋" w:hAnsi="仿宋" w:eastAsia="仿宋" w:cs="仿宋"/>
          <w:sz w:val="28"/>
          <w:szCs w:val="28"/>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技术选型要求：开源软件技术选型应与</w:t>
      </w:r>
      <w:r>
        <w:rPr>
          <w:rFonts w:hint="eastAsia" w:ascii="仿宋" w:hAnsi="仿宋" w:eastAsia="仿宋" w:cs="仿宋"/>
          <w:sz w:val="28"/>
          <w:szCs w:val="28"/>
          <w:lang w:eastAsia="zh-CN"/>
        </w:rPr>
        <w:t>我行</w:t>
      </w:r>
      <w:r>
        <w:rPr>
          <w:rFonts w:hint="eastAsia" w:ascii="仿宋" w:hAnsi="仿宋" w:eastAsia="仿宋" w:cs="仿宋"/>
          <w:sz w:val="28"/>
          <w:szCs w:val="28"/>
        </w:rPr>
        <w:t>信息化建设方向一致，服务于</w:t>
      </w:r>
      <w:r>
        <w:rPr>
          <w:rFonts w:hint="eastAsia" w:ascii="仿宋" w:hAnsi="仿宋" w:eastAsia="仿宋" w:cs="仿宋"/>
          <w:sz w:val="28"/>
          <w:szCs w:val="28"/>
          <w:lang w:eastAsia="zh-CN"/>
        </w:rPr>
        <w:t>我行</w:t>
      </w:r>
      <w:r>
        <w:rPr>
          <w:rFonts w:hint="eastAsia" w:ascii="仿宋" w:hAnsi="仿宋" w:eastAsia="仿宋" w:cs="仿宋"/>
          <w:sz w:val="28"/>
          <w:szCs w:val="28"/>
        </w:rPr>
        <w:t>业务发展，方向包括：互联网、分布式、微服务、云计算、大数据、人工智能等</w:t>
      </w:r>
      <w:r>
        <w:rPr>
          <w:rFonts w:hint="eastAsia" w:ascii="仿宋" w:hAnsi="仿宋" w:eastAsia="仿宋" w:cs="仿宋"/>
          <w:sz w:val="28"/>
          <w:szCs w:val="28"/>
          <w:lang w:eastAsia="zh-CN"/>
        </w:rPr>
        <w:t>。</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成熟度要求：</w:t>
      </w:r>
      <w:r>
        <w:rPr>
          <w:rFonts w:hint="eastAsia" w:ascii="仿宋" w:hAnsi="仿宋" w:eastAsia="仿宋" w:cs="仿宋"/>
          <w:sz w:val="28"/>
          <w:szCs w:val="28"/>
          <w:lang w:eastAsia="zh-CN"/>
        </w:rPr>
        <w:t>开源软件</w:t>
      </w:r>
      <w:r>
        <w:rPr>
          <w:rFonts w:hint="eastAsia" w:ascii="仿宋" w:hAnsi="仿宋" w:eastAsia="仿宋" w:cs="仿宋"/>
          <w:sz w:val="28"/>
          <w:szCs w:val="28"/>
        </w:rPr>
        <w:t>应使用业界公认成熟的开源软件</w:t>
      </w:r>
      <w:r>
        <w:rPr>
          <w:rFonts w:hint="eastAsia" w:ascii="仿宋" w:hAnsi="仿宋" w:eastAsia="仿宋" w:cs="仿宋"/>
          <w:sz w:val="28"/>
          <w:szCs w:val="28"/>
          <w:lang w:eastAsia="zh-CN"/>
        </w:rPr>
        <w:t>，</w:t>
      </w:r>
      <w:r>
        <w:rPr>
          <w:rFonts w:hint="eastAsia" w:ascii="仿宋" w:hAnsi="仿宋" w:eastAsia="仿宋" w:cs="仿宋"/>
          <w:sz w:val="28"/>
          <w:szCs w:val="28"/>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6、投标方应主动配合我行每季度的开源软件安全检查，</w:t>
      </w:r>
      <w:r>
        <w:rPr>
          <w:rFonts w:hint="eastAsia" w:ascii="仿宋" w:hAnsi="仿宋" w:eastAsia="仿宋" w:cs="仿宋"/>
          <w:sz w:val="28"/>
          <w:szCs w:val="28"/>
        </w:rPr>
        <w:t>第三方或开源组件出现安全漏洞时，</w:t>
      </w:r>
      <w:r>
        <w:rPr>
          <w:rFonts w:hint="eastAsia" w:ascii="仿宋" w:hAnsi="仿宋" w:eastAsia="仿宋" w:cs="仿宋"/>
          <w:sz w:val="28"/>
          <w:szCs w:val="28"/>
          <w:lang w:eastAsia="zh-CN"/>
        </w:rPr>
        <w:t>投标方应及时配合我行整改并</w:t>
      </w:r>
      <w:r>
        <w:rPr>
          <w:rFonts w:hint="eastAsia" w:ascii="仿宋" w:hAnsi="仿宋" w:eastAsia="仿宋" w:cs="仿宋"/>
          <w:sz w:val="28"/>
          <w:szCs w:val="28"/>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i/>
          <w:iCs/>
          <w:sz w:val="24"/>
          <w:szCs w:val="24"/>
          <w:highlight w:val="none"/>
          <w:lang w:val="en-US" w:eastAsia="zh-CN"/>
        </w:rPr>
      </w:pPr>
      <w:r>
        <w:rPr>
          <w:rFonts w:hint="eastAsia" w:ascii="华文仿宋" w:hAnsi="华文仿宋" w:eastAsia="华文仿宋" w:cs="华文仿宋"/>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系统架构规划</w:t>
      </w:r>
    </w:p>
    <w:p>
      <w:pPr>
        <w:numPr>
          <w:ilvl w:val="0"/>
          <w:numId w:val="31"/>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系统架构图</w:t>
      </w:r>
      <w:r>
        <w:rPr>
          <w:rFonts w:hint="eastAsia" w:ascii="仿宋" w:hAnsi="仿宋" w:eastAsia="仿宋" w:cs="仿宋"/>
          <w:snapToGrid w:val="0"/>
          <w:color w:val="000000"/>
          <w:sz w:val="22"/>
          <w:szCs w:val="22"/>
          <w:highlight w:val="none"/>
          <w:lang w:eastAsia="zh-CN"/>
        </w:rPr>
        <w:t>（我行已建立</w:t>
      </w:r>
      <w:r>
        <w:rPr>
          <w:rFonts w:hint="eastAsia" w:ascii="仿宋" w:hAnsi="仿宋" w:eastAsia="仿宋" w:cs="仿宋"/>
          <w:snapToGrid w:val="0"/>
          <w:color w:val="000000"/>
          <w:sz w:val="22"/>
          <w:szCs w:val="22"/>
          <w:highlight w:val="none"/>
          <w:lang w:val="en-US" w:eastAsia="zh-CN"/>
        </w:rPr>
        <w:t>ESB企业服务总线、数据总线、业务中台）</w:t>
      </w:r>
      <w:r>
        <w:rPr>
          <w:rFonts w:hint="eastAsia" w:ascii="仿宋" w:hAnsi="仿宋" w:eastAsia="仿宋" w:cs="仿宋"/>
          <w:snapToGrid w:val="0"/>
          <w:color w:val="000000"/>
          <w:sz w:val="28"/>
          <w:szCs w:val="28"/>
          <w:highlight w:val="none"/>
          <w:lang w:val="en-US" w:eastAsia="zh-CN"/>
        </w:rPr>
        <w:t xml:space="preserve">  </w:t>
      </w:r>
      <w:r>
        <w:rPr>
          <w:rFonts w:hint="eastAsia" w:ascii="仿宋" w:hAnsi="仿宋" w:eastAsia="仿宋" w:cs="仿宋"/>
          <w:snapToGrid w:val="0"/>
          <w:color w:val="0000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numPr>
          <w:ilvl w:val="0"/>
          <w:numId w:val="31"/>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硬件拓补图</w:t>
      </w:r>
      <w:r>
        <w:rPr>
          <w:rFonts w:hint="eastAsia" w:ascii="仿宋" w:hAnsi="仿宋" w:eastAsia="仿宋" w:cs="仿宋"/>
          <w:snapToGrid w:val="0"/>
          <w:color w:val="000000"/>
          <w:sz w:val="22"/>
          <w:szCs w:val="22"/>
          <w:lang w:eastAsia="zh-CN"/>
        </w:rPr>
        <w:t>（</w:t>
      </w:r>
      <w:r>
        <w:rPr>
          <w:rFonts w:hint="eastAsia" w:ascii="仿宋" w:hAnsi="仿宋" w:eastAsia="仿宋" w:cs="仿宋"/>
          <w:snapToGrid w:val="0"/>
          <w:color w:val="000000"/>
          <w:sz w:val="22"/>
          <w:szCs w:val="22"/>
          <w:lang w:val="en-US" w:eastAsia="zh-CN"/>
        </w:rPr>
        <w:t>请从附表</w:t>
      </w:r>
      <w:r>
        <w:rPr>
          <w:rFonts w:hint="eastAsia" w:ascii="华文仿宋" w:hAnsi="华文仿宋" w:eastAsia="华文仿宋" w:cs="华文仿宋"/>
          <w:b w:val="0"/>
          <w:bCs w:val="0"/>
          <w:sz w:val="24"/>
          <w:szCs w:val="24"/>
          <w:highlight w:val="none"/>
          <w:lang w:val="en-US" w:eastAsia="zh-CN"/>
        </w:rPr>
        <w:t>我行</w:t>
      </w:r>
      <w:r>
        <w:rPr>
          <w:rFonts w:hint="eastAsia" w:ascii="仿宋" w:hAnsi="仿宋" w:eastAsia="仿宋" w:cs="仿宋"/>
          <w:snapToGrid w:val="0"/>
          <w:color w:val="000000"/>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br w:type="textWrapping"/>
      </w:r>
    </w:p>
    <w:p>
      <w:pPr>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（1）我行支持软件清单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SUSE LINUX12sp5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zh-CN"/>
              </w:rPr>
              <w:t xml:space="preserve">REDHAT </w:t>
            </w:r>
            <w:r>
              <w:rPr>
                <w:rFonts w:hint="eastAsia" w:ascii="华文仿宋" w:hAnsi="华文仿宋" w:eastAsia="华文仿宋" w:cs="华文仿宋"/>
                <w:sz w:val="20"/>
                <w:szCs w:val="20"/>
                <w:lang w:val="en-US" w:eastAsia="zh-CN"/>
              </w:rPr>
              <w:t>LINUX 7.9/8.6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华文仿宋" w:hAnsi="华文仿宋" w:eastAsia="华文仿宋" w:cs="华文仿宋"/>
                <w:sz w:val="20"/>
                <w:szCs w:val="20"/>
                <w:lang w:val="en-US"/>
              </w:rPr>
            </w:pPr>
            <w:r>
              <w:rPr>
                <w:rFonts w:hint="eastAsia" w:ascii="华文仿宋" w:hAnsi="华文仿宋" w:eastAsia="华文仿宋" w:cs="华文仿宋"/>
                <w:sz w:val="20"/>
                <w:szCs w:val="20"/>
                <w:lang w:val="zh-CN"/>
              </w:rPr>
              <w:t>WIN</w:t>
            </w:r>
            <w:r>
              <w:rPr>
                <w:rFonts w:hint="eastAsia" w:ascii="华文仿宋" w:hAnsi="华文仿宋" w:eastAsia="华文仿宋" w:cs="华文仿宋"/>
                <w:sz w:val="20"/>
                <w:szCs w:val="20"/>
                <w:lang w:val="en-US" w:eastAsia="zh-CN"/>
              </w:rPr>
              <w:t xml:space="preserve">DOWS </w:t>
            </w:r>
            <w:r>
              <w:rPr>
                <w:rFonts w:hint="eastAsia" w:ascii="华文仿宋" w:hAnsi="华文仿宋" w:eastAsia="华文仿宋" w:cs="华文仿宋"/>
                <w:sz w:val="20"/>
                <w:szCs w:val="20"/>
                <w:lang w:val="zh-CN"/>
              </w:rPr>
              <w:t>SERVER 20</w:t>
            </w:r>
            <w:r>
              <w:rPr>
                <w:rFonts w:hint="eastAsia" w:ascii="华文仿宋" w:hAnsi="华文仿宋" w:eastAsia="华文仿宋" w:cs="华文仿宋"/>
                <w:sz w:val="20"/>
                <w:szCs w:val="20"/>
                <w:lang w:val="en-US" w:eastAsia="zh-CN"/>
              </w:rPr>
              <w:t>16</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MySQL5.7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 xml:space="preserve">WAS </w:t>
            </w:r>
            <w:r>
              <w:rPr>
                <w:rFonts w:hint="eastAsia" w:ascii="华文仿宋" w:hAnsi="华文仿宋" w:eastAsia="华文仿宋" w:cs="华文仿宋"/>
                <w:sz w:val="20"/>
                <w:szCs w:val="20"/>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 xml:space="preserve">Tomcat </w:t>
            </w:r>
            <w:r>
              <w:rPr>
                <w:rFonts w:hint="eastAsia" w:ascii="华文仿宋" w:hAnsi="华文仿宋" w:eastAsia="华文仿宋" w:cs="华文仿宋"/>
                <w:sz w:val="20"/>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lang w:val="zh-CN"/>
              </w:rPr>
              <w:t>Nginx</w:t>
            </w:r>
            <w:r>
              <w:rPr>
                <w:rFonts w:hint="eastAsia" w:ascii="华文仿宋" w:hAnsi="华文仿宋" w:eastAsia="华文仿宋" w:cs="华文仿宋"/>
                <w:sz w:val="20"/>
                <w:lang w:val="en-US" w:eastAsia="zh-CN"/>
              </w:rPr>
              <w:t xml:space="preserve"> </w:t>
            </w:r>
            <w:r>
              <w:rPr>
                <w:rFonts w:hint="eastAsia" w:ascii="华文仿宋" w:hAnsi="华文仿宋" w:eastAsia="华文仿宋" w:cs="华文仿宋"/>
                <w:sz w:val="20"/>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（2）我行支持硬件清单</w:t>
      </w:r>
    </w:p>
    <w:tbl>
      <w:tblPr>
        <w:tblStyle w:val="33"/>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16C/128G/4*600GB/2*HBA卡/2*4口网卡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rPr>
          <w:rFonts w:hint="eastAsia" w:ascii="仿宋" w:hAnsi="仿宋" w:eastAsia="仿宋" w:cs="仿宋"/>
          <w:b w:val="0"/>
          <w:bCs w:val="0"/>
          <w:snapToGrid w:val="0"/>
          <w:color w:val="000000"/>
          <w:sz w:val="16"/>
          <w:szCs w:val="16"/>
          <w:highlight w:val="none"/>
          <w:lang w:val="en-US" w:eastAsia="zh-CN"/>
        </w:rPr>
      </w:pPr>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附件7：产品功能表</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对应需求点</w:t>
            </w:r>
          </w:p>
        </w:tc>
        <w:tc>
          <w:tcPr>
            <w:tcW w:w="21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bl>
    <w:p>
      <w:pPr>
        <w:rPr>
          <w:rFonts w:hint="eastAsia" w:ascii="宋体" w:hAnsi="宋体"/>
          <w:sz w:val="28"/>
          <w:szCs w:val="28"/>
          <w:lang w:val="en-US" w:eastAsia="zh-CN"/>
        </w:rPr>
      </w:pPr>
    </w:p>
    <w:p>
      <w:pPr>
        <w:rPr>
          <w:rFonts w:hint="eastAsia" w:ascii="宋体" w:hAnsi="宋体"/>
          <w:sz w:val="28"/>
          <w:szCs w:val="28"/>
          <w:lang w:val="en-US" w:eastAsia="zh-CN"/>
        </w:rPr>
      </w:pPr>
    </w:p>
    <w:p>
      <w:pPr>
        <w:pStyle w:val="3"/>
        <w:spacing w:after="0" w:line="240" w:lineRule="auto"/>
        <w:jc w:val="left"/>
        <w:rPr>
          <w:rFonts w:ascii="宋体" w:hAnsi="宋体" w:eastAsia="宋体"/>
          <w:b w:val="0"/>
          <w:sz w:val="28"/>
          <w:szCs w:val="28"/>
          <w:highlight w:val="yellow"/>
        </w:rPr>
      </w:pPr>
      <w:r>
        <w:rPr>
          <w:rFonts w:hint="eastAsia" w:ascii="仿宋" w:hAnsi="仿宋" w:eastAsia="仿宋" w:cs="仿宋"/>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角色</w:t>
            </w:r>
          </w:p>
        </w:tc>
        <w:tc>
          <w:tcPr>
            <w:tcW w:w="109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84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公司职务</w:t>
            </w:r>
          </w:p>
        </w:tc>
        <w:tc>
          <w:tcPr>
            <w:tcW w:w="683"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工作年限</w:t>
            </w:r>
          </w:p>
        </w:tc>
        <w:tc>
          <w:tcPr>
            <w:tcW w:w="191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参与阶段/主要工作</w:t>
            </w:r>
          </w:p>
        </w:tc>
        <w:tc>
          <w:tcPr>
            <w:tcW w:w="136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进场时间</w:t>
            </w:r>
          </w:p>
        </w:tc>
        <w:tc>
          <w:tcPr>
            <w:tcW w:w="141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项目经理</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需求分析</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系统设计</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软件工程师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测试工程师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bl>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tabs>
          <w:tab w:val="left" w:pos="720"/>
        </w:tabs>
        <w:spacing w:line="300" w:lineRule="auto"/>
        <w:rPr>
          <w:rFonts w:hint="eastAsia" w:ascii="仿宋" w:hAnsi="仿宋" w:eastAsia="仿宋" w:cs="仿宋"/>
          <w:b/>
          <w:sz w:val="28"/>
          <w:szCs w:val="28"/>
        </w:rPr>
      </w:pPr>
    </w:p>
    <w:p>
      <w:pPr>
        <w:tabs>
          <w:tab w:val="left" w:pos="720"/>
        </w:tabs>
        <w:spacing w:line="300" w:lineRule="auto"/>
        <w:rPr>
          <w:rFonts w:hint="eastAsia" w:ascii="仿宋" w:hAnsi="仿宋" w:eastAsia="仿宋" w:cs="仿宋"/>
          <w:b/>
          <w:sz w:val="28"/>
          <w:szCs w:val="28"/>
        </w:rPr>
      </w:pP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eastAsia="zh-CN"/>
        </w:rPr>
        <w:t>项目成</w:t>
      </w:r>
      <w:r>
        <w:rPr>
          <w:rFonts w:hint="eastAsia" w:ascii="仿宋" w:hAnsi="仿宋" w:eastAsia="仿宋" w:cs="仿宋"/>
          <w:b/>
          <w:sz w:val="28"/>
          <w:szCs w:val="28"/>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rPr>
            </w:pPr>
            <w:r>
              <w:rPr>
                <w:rFonts w:hint="eastAsia" w:ascii="仿宋" w:hAnsi="仿宋" w:eastAsia="仿宋" w:cs="仿宋"/>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专业技能简介</w:t>
            </w:r>
          </w:p>
        </w:tc>
        <w:tc>
          <w:tcPr>
            <w:tcW w:w="6887" w:type="dxa"/>
            <w:gridSpan w:val="5"/>
            <w:shd w:val="clear" w:color="auto" w:fill="auto"/>
            <w:vAlign w:val="center"/>
          </w:tcPr>
          <w:p>
            <w:pPr>
              <w:jc w:val="both"/>
              <w:rPr>
                <w:rFonts w:hint="eastAsia" w:ascii="仿宋" w:hAnsi="仿宋" w:eastAsia="仿宋" w:cs="仿宋"/>
                <w:sz w:val="24"/>
                <w:szCs w:val="24"/>
              </w:rPr>
            </w:pPr>
            <w:r>
              <w:rPr>
                <w:rFonts w:hint="eastAsia" w:ascii="仿宋" w:hAnsi="仿宋" w:eastAsia="仿宋" w:cs="仿宋"/>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32"/>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32"/>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咨询顾问</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sz w:val="28"/>
          <w:szCs w:val="28"/>
        </w:rPr>
      </w:pPr>
    </w:p>
    <w:p>
      <w:pPr>
        <w:rPr>
          <w:rFonts w:ascii="宋体" w:hAnsi="宋体"/>
          <w:sz w:val="28"/>
          <w:szCs w:val="28"/>
        </w:rPr>
      </w:pP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eastAsia="zh-CN"/>
        </w:rPr>
        <w:t>附件</w:t>
      </w:r>
      <w:r>
        <w:rPr>
          <w:rFonts w:hint="eastAsia" w:ascii="仿宋" w:hAnsi="仿宋" w:eastAsia="仿宋" w:cs="仿宋"/>
          <w:b w:val="0"/>
          <w:sz w:val="28"/>
          <w:szCs w:val="28"/>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宋体" w:hAnsi="宋体"/>
          <w:sz w:val="24"/>
          <w:szCs w:val="24"/>
          <w:lang w:val="en-US" w:eastAsia="zh-CN"/>
        </w:rPr>
      </w:pPr>
      <w:r>
        <w:rPr>
          <w:rFonts w:hint="eastAsia" w:ascii="仿宋" w:hAnsi="仿宋" w:eastAsia="仿宋" w:cs="仿宋"/>
          <w:sz w:val="28"/>
          <w:szCs w:val="28"/>
        </w:rPr>
        <w:t>日    期：</w:t>
      </w: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附件10：投标人资格证明与案例情况（近三年，需附证明文件）</w:t>
      </w:r>
    </w:p>
    <w:p>
      <w:pPr>
        <w:numPr>
          <w:ilvl w:val="0"/>
          <w:numId w:val="33"/>
        </w:num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二、案例情况说明</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ascii="宋体" w:hAnsi="宋体"/>
          <w:sz w:val="28"/>
          <w:szCs w:val="28"/>
        </w:rPr>
      </w:pPr>
      <w:r>
        <w:rPr>
          <w:rFonts w:hint="eastAsia" w:ascii="仿宋" w:hAnsi="仿宋" w:eastAsia="仿宋" w:cs="仿宋"/>
          <w:sz w:val="28"/>
          <w:szCs w:val="28"/>
        </w:rPr>
        <w:t>日    期：</w:t>
      </w:r>
    </w:p>
    <w:p>
      <w:pPr>
        <w:rPr>
          <w:rFonts w:hint="eastAsia" w:ascii="微软雅黑" w:hAnsi="微软雅黑" w:eastAsia="微软雅黑" w:cs="微软雅黑"/>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2022年7月版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A82ED832"/>
    <w:multiLevelType w:val="singleLevel"/>
    <w:tmpl w:val="A82ED832"/>
    <w:lvl w:ilvl="0" w:tentative="0">
      <w:start w:val="1"/>
      <w:numFmt w:val="decimal"/>
      <w:lvlText w:val="%1."/>
      <w:lvlJc w:val="left"/>
      <w:pPr>
        <w:tabs>
          <w:tab w:val="left" w:pos="312"/>
        </w:tabs>
      </w:pPr>
    </w:lvl>
  </w:abstractNum>
  <w:abstractNum w:abstractNumId="2">
    <w:nsid w:val="DE6AD549"/>
    <w:multiLevelType w:val="singleLevel"/>
    <w:tmpl w:val="DE6AD549"/>
    <w:lvl w:ilvl="0" w:tentative="0">
      <w:start w:val="1"/>
      <w:numFmt w:val="decimal"/>
      <w:lvlText w:val="%1)"/>
      <w:lvlJc w:val="left"/>
      <w:pPr>
        <w:ind w:left="425" w:hanging="425"/>
      </w:pPr>
      <w:rPr>
        <w:rFonts w:hint="default"/>
      </w:rPr>
    </w:lvl>
  </w:abstractNum>
  <w:abstractNum w:abstractNumId="3">
    <w:nsid w:val="E195C067"/>
    <w:multiLevelType w:val="singleLevel"/>
    <w:tmpl w:val="E195C067"/>
    <w:lvl w:ilvl="0" w:tentative="0">
      <w:start w:val="1"/>
      <w:numFmt w:val="decimal"/>
      <w:lvlText w:val="%1)"/>
      <w:lvlJc w:val="left"/>
      <w:pPr>
        <w:ind w:left="425" w:hanging="425"/>
      </w:pPr>
      <w:rPr>
        <w:rFonts w:hint="default"/>
      </w:rPr>
    </w:lvl>
  </w:abstractNum>
  <w:abstractNum w:abstractNumId="4">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5">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6">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A074EA"/>
    <w:multiLevelType w:val="singleLevel"/>
    <w:tmpl w:val="11A074EA"/>
    <w:lvl w:ilvl="0" w:tentative="0">
      <w:start w:val="1"/>
      <w:numFmt w:val="decimal"/>
      <w:lvlText w:val="%1."/>
      <w:lvlJc w:val="left"/>
      <w:pPr>
        <w:tabs>
          <w:tab w:val="left" w:pos="312"/>
        </w:tabs>
      </w:pPr>
    </w:lvl>
  </w:abstractNum>
  <w:abstractNum w:abstractNumId="8">
    <w:nsid w:val="5279BCCF"/>
    <w:multiLevelType w:val="singleLevel"/>
    <w:tmpl w:val="5279BCCF"/>
    <w:lvl w:ilvl="0" w:tentative="0">
      <w:start w:val="1"/>
      <w:numFmt w:val="chineseCounting"/>
      <w:suff w:val="nothing"/>
      <w:lvlText w:val="%1、"/>
      <w:lvlJc w:val="left"/>
    </w:lvl>
  </w:abstractNum>
  <w:abstractNum w:abstractNumId="9">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10">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11">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12">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5">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8">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9">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22">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3">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4">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5">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6">
    <w:nsid w:val="5983032A"/>
    <w:multiLevelType w:val="singleLevel"/>
    <w:tmpl w:val="5983032A"/>
    <w:lvl w:ilvl="0" w:tentative="0">
      <w:start w:val="2"/>
      <w:numFmt w:val="chineseCounting"/>
      <w:suff w:val="nothing"/>
      <w:lvlText w:val="%1、"/>
      <w:lvlJc w:val="left"/>
    </w:lvl>
  </w:abstractNum>
  <w:abstractNum w:abstractNumId="27">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8">
    <w:nsid w:val="5987D065"/>
    <w:multiLevelType w:val="singleLevel"/>
    <w:tmpl w:val="5987D065"/>
    <w:lvl w:ilvl="0" w:tentative="0">
      <w:start w:val="1"/>
      <w:numFmt w:val="chineseCounting"/>
      <w:suff w:val="nothing"/>
      <w:lvlText w:val="%1、"/>
      <w:lvlJc w:val="left"/>
    </w:lvl>
  </w:abstractNum>
  <w:abstractNum w:abstractNumId="29">
    <w:nsid w:val="5987D4BA"/>
    <w:multiLevelType w:val="singleLevel"/>
    <w:tmpl w:val="5987D4BA"/>
    <w:lvl w:ilvl="0" w:tentative="0">
      <w:start w:val="2"/>
      <w:numFmt w:val="chineseCounting"/>
      <w:suff w:val="nothing"/>
      <w:lvlText w:val="（%1）"/>
      <w:lvlJc w:val="left"/>
    </w:lvl>
  </w:abstractNum>
  <w:abstractNum w:abstractNumId="30">
    <w:nsid w:val="6274B24D"/>
    <w:multiLevelType w:val="singleLevel"/>
    <w:tmpl w:val="6274B24D"/>
    <w:lvl w:ilvl="0" w:tentative="0">
      <w:start w:val="1"/>
      <w:numFmt w:val="decimal"/>
      <w:suff w:val="nothing"/>
      <w:lvlText w:val="%1."/>
      <w:lvlJc w:val="left"/>
    </w:lvl>
  </w:abstractNum>
  <w:abstractNum w:abstractNumId="31">
    <w:nsid w:val="6274BBBD"/>
    <w:multiLevelType w:val="singleLevel"/>
    <w:tmpl w:val="6274BBBD"/>
    <w:lvl w:ilvl="0" w:tentative="0">
      <w:start w:val="1"/>
      <w:numFmt w:val="decimal"/>
      <w:suff w:val="nothing"/>
      <w:lvlText w:val="%1."/>
      <w:lvlJc w:val="left"/>
    </w:lvl>
  </w:abstractNum>
  <w:abstractNum w:abstractNumId="32">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4"/>
  </w:num>
  <w:num w:numId="2">
    <w:abstractNumId w:val="10"/>
  </w:num>
  <w:num w:numId="3">
    <w:abstractNumId w:val="9"/>
  </w:num>
  <w:num w:numId="4">
    <w:abstractNumId w:val="12"/>
  </w:num>
  <w:num w:numId="5">
    <w:abstractNumId w:val="13"/>
  </w:num>
  <w:num w:numId="6">
    <w:abstractNumId w:val="14"/>
  </w:num>
  <w:num w:numId="7">
    <w:abstractNumId w:val="11"/>
  </w:num>
  <w:num w:numId="8">
    <w:abstractNumId w:val="15"/>
  </w:num>
  <w:num w:numId="9">
    <w:abstractNumId w:val="16"/>
  </w:num>
  <w:num w:numId="10">
    <w:abstractNumId w:val="17"/>
  </w:num>
  <w:num w:numId="11">
    <w:abstractNumId w:val="0"/>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5"/>
  </w:num>
  <w:num w:numId="19">
    <w:abstractNumId w:val="8"/>
  </w:num>
  <w:num w:numId="20">
    <w:abstractNumId w:val="32"/>
  </w:num>
  <w:num w:numId="21">
    <w:abstractNumId w:val="24"/>
  </w:num>
  <w:num w:numId="22">
    <w:abstractNumId w:val="25"/>
  </w:num>
  <w:num w:numId="23">
    <w:abstractNumId w:val="26"/>
  </w:num>
  <w:num w:numId="24">
    <w:abstractNumId w:val="30"/>
  </w:num>
  <w:num w:numId="25">
    <w:abstractNumId w:val="3"/>
  </w:num>
  <w:num w:numId="26">
    <w:abstractNumId w:val="31"/>
  </w:num>
  <w:num w:numId="27">
    <w:abstractNumId w:val="2"/>
  </w:num>
  <w:num w:numId="28">
    <w:abstractNumId w:val="1"/>
  </w:num>
  <w:num w:numId="29">
    <w:abstractNumId w:val="7"/>
  </w:num>
  <w:num w:numId="30">
    <w:abstractNumId w:val="29"/>
  </w:num>
  <w:num w:numId="31">
    <w:abstractNumId w:val="27"/>
  </w:num>
  <w:num w:numId="32">
    <w:abstractNumId w:val="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135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473415"/>
    <w:rsid w:val="015F6610"/>
    <w:rsid w:val="016B0AF3"/>
    <w:rsid w:val="023F763D"/>
    <w:rsid w:val="02426FC4"/>
    <w:rsid w:val="024C138E"/>
    <w:rsid w:val="026003F1"/>
    <w:rsid w:val="02777751"/>
    <w:rsid w:val="02A067C4"/>
    <w:rsid w:val="02BA29F8"/>
    <w:rsid w:val="02DA51D6"/>
    <w:rsid w:val="03140E87"/>
    <w:rsid w:val="031D6BFC"/>
    <w:rsid w:val="034435B9"/>
    <w:rsid w:val="03926FEA"/>
    <w:rsid w:val="03B46439"/>
    <w:rsid w:val="0412370F"/>
    <w:rsid w:val="043F6208"/>
    <w:rsid w:val="04694A39"/>
    <w:rsid w:val="04972F07"/>
    <w:rsid w:val="05B856DB"/>
    <w:rsid w:val="065A5568"/>
    <w:rsid w:val="068A58DD"/>
    <w:rsid w:val="06A2432A"/>
    <w:rsid w:val="06AC59D5"/>
    <w:rsid w:val="07017C4C"/>
    <w:rsid w:val="0756131A"/>
    <w:rsid w:val="0854497E"/>
    <w:rsid w:val="08AB3900"/>
    <w:rsid w:val="08E829EE"/>
    <w:rsid w:val="091E5CE6"/>
    <w:rsid w:val="09227C36"/>
    <w:rsid w:val="0A225111"/>
    <w:rsid w:val="0A5237FA"/>
    <w:rsid w:val="0AB43546"/>
    <w:rsid w:val="0ABE784E"/>
    <w:rsid w:val="0AD164F5"/>
    <w:rsid w:val="0B0A5D72"/>
    <w:rsid w:val="0B836253"/>
    <w:rsid w:val="0BDC31DE"/>
    <w:rsid w:val="0C0E4FBC"/>
    <w:rsid w:val="0C297253"/>
    <w:rsid w:val="0C824CC4"/>
    <w:rsid w:val="0C904C0E"/>
    <w:rsid w:val="0D0514A7"/>
    <w:rsid w:val="0D1F1BB5"/>
    <w:rsid w:val="0D5D0AE8"/>
    <w:rsid w:val="0D8F2D46"/>
    <w:rsid w:val="0DAE5379"/>
    <w:rsid w:val="0DB16C2B"/>
    <w:rsid w:val="0DCB3E31"/>
    <w:rsid w:val="0E702D3B"/>
    <w:rsid w:val="0E7375A1"/>
    <w:rsid w:val="0F8F770F"/>
    <w:rsid w:val="0FFA7C4E"/>
    <w:rsid w:val="101F7A0E"/>
    <w:rsid w:val="10C776EF"/>
    <w:rsid w:val="11383706"/>
    <w:rsid w:val="12780A0F"/>
    <w:rsid w:val="12B9330F"/>
    <w:rsid w:val="131E3EC2"/>
    <w:rsid w:val="134875A3"/>
    <w:rsid w:val="13B21DDF"/>
    <w:rsid w:val="13CF32F6"/>
    <w:rsid w:val="14044EE5"/>
    <w:rsid w:val="14193B86"/>
    <w:rsid w:val="142C5E3A"/>
    <w:rsid w:val="148F2E6E"/>
    <w:rsid w:val="14A81FAA"/>
    <w:rsid w:val="14C71970"/>
    <w:rsid w:val="153C1171"/>
    <w:rsid w:val="15840E3F"/>
    <w:rsid w:val="15AE3F82"/>
    <w:rsid w:val="15BA039F"/>
    <w:rsid w:val="15D64E1E"/>
    <w:rsid w:val="15E66256"/>
    <w:rsid w:val="16273CED"/>
    <w:rsid w:val="16975514"/>
    <w:rsid w:val="177C6E4F"/>
    <w:rsid w:val="17DB0337"/>
    <w:rsid w:val="17F5625C"/>
    <w:rsid w:val="17FC186F"/>
    <w:rsid w:val="189D20F0"/>
    <w:rsid w:val="18B8785A"/>
    <w:rsid w:val="19474EE4"/>
    <w:rsid w:val="194D45C7"/>
    <w:rsid w:val="19555E6C"/>
    <w:rsid w:val="19961FDC"/>
    <w:rsid w:val="19A24DFE"/>
    <w:rsid w:val="19B33F22"/>
    <w:rsid w:val="1A201B89"/>
    <w:rsid w:val="1A2C4A64"/>
    <w:rsid w:val="1A523FB8"/>
    <w:rsid w:val="1A6C779C"/>
    <w:rsid w:val="1AE65EF1"/>
    <w:rsid w:val="1B5213EA"/>
    <w:rsid w:val="1B986C08"/>
    <w:rsid w:val="1C1A366B"/>
    <w:rsid w:val="1C762E6E"/>
    <w:rsid w:val="1C765BB9"/>
    <w:rsid w:val="1CA154E8"/>
    <w:rsid w:val="1CA45FE9"/>
    <w:rsid w:val="1D106803"/>
    <w:rsid w:val="1D6C0124"/>
    <w:rsid w:val="1DE24E96"/>
    <w:rsid w:val="1E23715C"/>
    <w:rsid w:val="1E483254"/>
    <w:rsid w:val="1E6C1D9C"/>
    <w:rsid w:val="1F1B7A78"/>
    <w:rsid w:val="1F282FCA"/>
    <w:rsid w:val="1FC00BA4"/>
    <w:rsid w:val="1FC25642"/>
    <w:rsid w:val="200E7A08"/>
    <w:rsid w:val="203665BB"/>
    <w:rsid w:val="204F2EAC"/>
    <w:rsid w:val="207B4430"/>
    <w:rsid w:val="207E05FA"/>
    <w:rsid w:val="207F7502"/>
    <w:rsid w:val="20D27DF1"/>
    <w:rsid w:val="20E022E2"/>
    <w:rsid w:val="2159297C"/>
    <w:rsid w:val="21895C02"/>
    <w:rsid w:val="21A3377D"/>
    <w:rsid w:val="221E3807"/>
    <w:rsid w:val="222B3CD6"/>
    <w:rsid w:val="227231E3"/>
    <w:rsid w:val="22B71E0A"/>
    <w:rsid w:val="22DF68BA"/>
    <w:rsid w:val="23120D28"/>
    <w:rsid w:val="231C05A6"/>
    <w:rsid w:val="23AD74CB"/>
    <w:rsid w:val="23B211E7"/>
    <w:rsid w:val="23D03A35"/>
    <w:rsid w:val="24B970CD"/>
    <w:rsid w:val="24DD74A7"/>
    <w:rsid w:val="24DF4CB0"/>
    <w:rsid w:val="24EF1EC5"/>
    <w:rsid w:val="250A0639"/>
    <w:rsid w:val="252922B8"/>
    <w:rsid w:val="253329FB"/>
    <w:rsid w:val="25987B4A"/>
    <w:rsid w:val="25AB48B9"/>
    <w:rsid w:val="25CF4249"/>
    <w:rsid w:val="262B1DED"/>
    <w:rsid w:val="26774072"/>
    <w:rsid w:val="272162AB"/>
    <w:rsid w:val="27A24554"/>
    <w:rsid w:val="27C40956"/>
    <w:rsid w:val="28181816"/>
    <w:rsid w:val="28506176"/>
    <w:rsid w:val="291C7581"/>
    <w:rsid w:val="292D78B9"/>
    <w:rsid w:val="29655ACD"/>
    <w:rsid w:val="2AC82D98"/>
    <w:rsid w:val="2B0F368C"/>
    <w:rsid w:val="2B5553E9"/>
    <w:rsid w:val="2BE521BC"/>
    <w:rsid w:val="2CCA0FC1"/>
    <w:rsid w:val="2CF57956"/>
    <w:rsid w:val="2CF80ADA"/>
    <w:rsid w:val="2D232E8B"/>
    <w:rsid w:val="2D4B2BCC"/>
    <w:rsid w:val="2DD67FBC"/>
    <w:rsid w:val="2DDE4DF1"/>
    <w:rsid w:val="2E4F5B52"/>
    <w:rsid w:val="2E5423C9"/>
    <w:rsid w:val="2E786113"/>
    <w:rsid w:val="2E8C44A4"/>
    <w:rsid w:val="2ED63DAE"/>
    <w:rsid w:val="2F920070"/>
    <w:rsid w:val="2FA85CD6"/>
    <w:rsid w:val="2FB47CF7"/>
    <w:rsid w:val="2FBB56EA"/>
    <w:rsid w:val="2FCC0C6E"/>
    <w:rsid w:val="305717B6"/>
    <w:rsid w:val="3058246E"/>
    <w:rsid w:val="31CF0A5D"/>
    <w:rsid w:val="32113DDD"/>
    <w:rsid w:val="32226E35"/>
    <w:rsid w:val="32544F91"/>
    <w:rsid w:val="32B51499"/>
    <w:rsid w:val="32D565D1"/>
    <w:rsid w:val="33631FE5"/>
    <w:rsid w:val="338800B3"/>
    <w:rsid w:val="33D87D7E"/>
    <w:rsid w:val="3413415F"/>
    <w:rsid w:val="346D1CBC"/>
    <w:rsid w:val="34774473"/>
    <w:rsid w:val="34CA42CE"/>
    <w:rsid w:val="34E770F3"/>
    <w:rsid w:val="35002869"/>
    <w:rsid w:val="35AA3AE9"/>
    <w:rsid w:val="35D54B9D"/>
    <w:rsid w:val="36F0652C"/>
    <w:rsid w:val="370A170C"/>
    <w:rsid w:val="373C6391"/>
    <w:rsid w:val="374977D6"/>
    <w:rsid w:val="3757480D"/>
    <w:rsid w:val="375E3FC2"/>
    <w:rsid w:val="3870013B"/>
    <w:rsid w:val="38B16AAF"/>
    <w:rsid w:val="38E17FBF"/>
    <w:rsid w:val="38E75E6A"/>
    <w:rsid w:val="39637C9B"/>
    <w:rsid w:val="39DE5349"/>
    <w:rsid w:val="39E90411"/>
    <w:rsid w:val="3A0B514D"/>
    <w:rsid w:val="3AC36277"/>
    <w:rsid w:val="3B1220D5"/>
    <w:rsid w:val="3B2C3D25"/>
    <w:rsid w:val="3B836A1F"/>
    <w:rsid w:val="3BB039CA"/>
    <w:rsid w:val="3C077B24"/>
    <w:rsid w:val="3C5B512B"/>
    <w:rsid w:val="3C95430B"/>
    <w:rsid w:val="3D0542A9"/>
    <w:rsid w:val="3DE51B62"/>
    <w:rsid w:val="3DFA001C"/>
    <w:rsid w:val="3E2677C4"/>
    <w:rsid w:val="3E503BC8"/>
    <w:rsid w:val="3EA95DD0"/>
    <w:rsid w:val="3F42799A"/>
    <w:rsid w:val="3FB56FA8"/>
    <w:rsid w:val="3FC20FCA"/>
    <w:rsid w:val="4077181C"/>
    <w:rsid w:val="40837CC5"/>
    <w:rsid w:val="40F36ADA"/>
    <w:rsid w:val="411656A7"/>
    <w:rsid w:val="418A0B44"/>
    <w:rsid w:val="41A37CB9"/>
    <w:rsid w:val="42980C9A"/>
    <w:rsid w:val="42A542C4"/>
    <w:rsid w:val="42AC0C6E"/>
    <w:rsid w:val="43285D3E"/>
    <w:rsid w:val="438A492C"/>
    <w:rsid w:val="43B7463B"/>
    <w:rsid w:val="44534274"/>
    <w:rsid w:val="446B6756"/>
    <w:rsid w:val="448D0D5E"/>
    <w:rsid w:val="4493279D"/>
    <w:rsid w:val="44E569B4"/>
    <w:rsid w:val="458925D9"/>
    <w:rsid w:val="458B155C"/>
    <w:rsid w:val="45C0005C"/>
    <w:rsid w:val="45D74323"/>
    <w:rsid w:val="45E83AD0"/>
    <w:rsid w:val="46663012"/>
    <w:rsid w:val="477375C7"/>
    <w:rsid w:val="47B71891"/>
    <w:rsid w:val="48570EBF"/>
    <w:rsid w:val="486253FD"/>
    <w:rsid w:val="49B30C4C"/>
    <w:rsid w:val="49CC555F"/>
    <w:rsid w:val="49D25F5D"/>
    <w:rsid w:val="4A155F2A"/>
    <w:rsid w:val="4A4D77BA"/>
    <w:rsid w:val="4A7D5BA6"/>
    <w:rsid w:val="4A8D3710"/>
    <w:rsid w:val="4AF24664"/>
    <w:rsid w:val="4B40698D"/>
    <w:rsid w:val="4B48076E"/>
    <w:rsid w:val="4B4E2792"/>
    <w:rsid w:val="4BFA7A10"/>
    <w:rsid w:val="4D391A3D"/>
    <w:rsid w:val="4D5B1913"/>
    <w:rsid w:val="4DD51292"/>
    <w:rsid w:val="4E351A0F"/>
    <w:rsid w:val="4E8D29A3"/>
    <w:rsid w:val="4E933484"/>
    <w:rsid w:val="4E9553C8"/>
    <w:rsid w:val="4E9B37F3"/>
    <w:rsid w:val="4F075C3A"/>
    <w:rsid w:val="4F124603"/>
    <w:rsid w:val="4F431490"/>
    <w:rsid w:val="4FB55C78"/>
    <w:rsid w:val="4FD533B9"/>
    <w:rsid w:val="4FDF5118"/>
    <w:rsid w:val="5011782C"/>
    <w:rsid w:val="506D1992"/>
    <w:rsid w:val="50847E00"/>
    <w:rsid w:val="50A474B7"/>
    <w:rsid w:val="51634F7E"/>
    <w:rsid w:val="51A13730"/>
    <w:rsid w:val="520B41D4"/>
    <w:rsid w:val="520D4419"/>
    <w:rsid w:val="52386CE3"/>
    <w:rsid w:val="52EE532B"/>
    <w:rsid w:val="53EF7D85"/>
    <w:rsid w:val="53FA6863"/>
    <w:rsid w:val="548D4A1C"/>
    <w:rsid w:val="54FE1F29"/>
    <w:rsid w:val="55730915"/>
    <w:rsid w:val="56C32EC8"/>
    <w:rsid w:val="572A2615"/>
    <w:rsid w:val="57426605"/>
    <w:rsid w:val="57435CB9"/>
    <w:rsid w:val="57952EED"/>
    <w:rsid w:val="581377A6"/>
    <w:rsid w:val="58516F38"/>
    <w:rsid w:val="585F37C6"/>
    <w:rsid w:val="59537374"/>
    <w:rsid w:val="59567F4D"/>
    <w:rsid w:val="59A35BD0"/>
    <w:rsid w:val="5B3B60A4"/>
    <w:rsid w:val="5B46714E"/>
    <w:rsid w:val="5B5E5416"/>
    <w:rsid w:val="5B794029"/>
    <w:rsid w:val="5C006AA4"/>
    <w:rsid w:val="5C026E80"/>
    <w:rsid w:val="5C0550D1"/>
    <w:rsid w:val="5C1902AF"/>
    <w:rsid w:val="5C1F5633"/>
    <w:rsid w:val="5C205AF1"/>
    <w:rsid w:val="5C5D0EEE"/>
    <w:rsid w:val="5C8247F7"/>
    <w:rsid w:val="5DBA4654"/>
    <w:rsid w:val="5DE47C2D"/>
    <w:rsid w:val="5DF20031"/>
    <w:rsid w:val="5E7618C2"/>
    <w:rsid w:val="5F2D2E24"/>
    <w:rsid w:val="603B16C5"/>
    <w:rsid w:val="60D470B0"/>
    <w:rsid w:val="60E16953"/>
    <w:rsid w:val="60F2286C"/>
    <w:rsid w:val="61133F18"/>
    <w:rsid w:val="612A7E43"/>
    <w:rsid w:val="61357C86"/>
    <w:rsid w:val="614A23AF"/>
    <w:rsid w:val="61590E72"/>
    <w:rsid w:val="615B0D1E"/>
    <w:rsid w:val="615B5C92"/>
    <w:rsid w:val="61771EE8"/>
    <w:rsid w:val="61C03AA5"/>
    <w:rsid w:val="61D40F9A"/>
    <w:rsid w:val="61DC7A24"/>
    <w:rsid w:val="61E843AE"/>
    <w:rsid w:val="620D2536"/>
    <w:rsid w:val="62625A67"/>
    <w:rsid w:val="62626C23"/>
    <w:rsid w:val="628402D0"/>
    <w:rsid w:val="63272316"/>
    <w:rsid w:val="63C24B0A"/>
    <w:rsid w:val="63DE5387"/>
    <w:rsid w:val="64014DC5"/>
    <w:rsid w:val="6410508E"/>
    <w:rsid w:val="641D0F13"/>
    <w:rsid w:val="643829A8"/>
    <w:rsid w:val="646C6FE8"/>
    <w:rsid w:val="64C03B57"/>
    <w:rsid w:val="65761FCC"/>
    <w:rsid w:val="658A12DC"/>
    <w:rsid w:val="65906DEB"/>
    <w:rsid w:val="65C15915"/>
    <w:rsid w:val="65CB08AD"/>
    <w:rsid w:val="65F3029E"/>
    <w:rsid w:val="660D3DB9"/>
    <w:rsid w:val="661012CB"/>
    <w:rsid w:val="662F65D4"/>
    <w:rsid w:val="66A3741E"/>
    <w:rsid w:val="66B614FB"/>
    <w:rsid w:val="66C478CB"/>
    <w:rsid w:val="681E7AD8"/>
    <w:rsid w:val="685C0B24"/>
    <w:rsid w:val="68961AFB"/>
    <w:rsid w:val="6904590E"/>
    <w:rsid w:val="698C591D"/>
    <w:rsid w:val="6A0D0F70"/>
    <w:rsid w:val="6A1A03AA"/>
    <w:rsid w:val="6A394651"/>
    <w:rsid w:val="6A5945F9"/>
    <w:rsid w:val="6AA66486"/>
    <w:rsid w:val="6AA94832"/>
    <w:rsid w:val="6B4E7C02"/>
    <w:rsid w:val="6B533323"/>
    <w:rsid w:val="6B7A7AE3"/>
    <w:rsid w:val="6B906962"/>
    <w:rsid w:val="6C325E7E"/>
    <w:rsid w:val="6CCB125B"/>
    <w:rsid w:val="6CFC6005"/>
    <w:rsid w:val="6D024353"/>
    <w:rsid w:val="6D530806"/>
    <w:rsid w:val="6D813F04"/>
    <w:rsid w:val="6DCF5B68"/>
    <w:rsid w:val="6E973570"/>
    <w:rsid w:val="6ED00995"/>
    <w:rsid w:val="6EF76B37"/>
    <w:rsid w:val="6EFE488E"/>
    <w:rsid w:val="6F767EFE"/>
    <w:rsid w:val="6FFB0052"/>
    <w:rsid w:val="703C2F5B"/>
    <w:rsid w:val="704F3FE3"/>
    <w:rsid w:val="7056024D"/>
    <w:rsid w:val="70962A58"/>
    <w:rsid w:val="710E0330"/>
    <w:rsid w:val="71160067"/>
    <w:rsid w:val="71382591"/>
    <w:rsid w:val="7183281F"/>
    <w:rsid w:val="71C13224"/>
    <w:rsid w:val="71F91A05"/>
    <w:rsid w:val="72181D1E"/>
    <w:rsid w:val="72412981"/>
    <w:rsid w:val="7251629D"/>
    <w:rsid w:val="72516DE5"/>
    <w:rsid w:val="72744378"/>
    <w:rsid w:val="728E0664"/>
    <w:rsid w:val="73176CA4"/>
    <w:rsid w:val="7318788D"/>
    <w:rsid w:val="735D191F"/>
    <w:rsid w:val="735F3638"/>
    <w:rsid w:val="736A23E7"/>
    <w:rsid w:val="73803BE2"/>
    <w:rsid w:val="740B1955"/>
    <w:rsid w:val="74833A17"/>
    <w:rsid w:val="74AE0429"/>
    <w:rsid w:val="74CC4F09"/>
    <w:rsid w:val="75237E76"/>
    <w:rsid w:val="755C32F4"/>
    <w:rsid w:val="758F565B"/>
    <w:rsid w:val="759E1174"/>
    <w:rsid w:val="76164B6D"/>
    <w:rsid w:val="76D02233"/>
    <w:rsid w:val="76E56E6E"/>
    <w:rsid w:val="773F1FE6"/>
    <w:rsid w:val="79311880"/>
    <w:rsid w:val="79C2692A"/>
    <w:rsid w:val="7A022E0D"/>
    <w:rsid w:val="7A11356D"/>
    <w:rsid w:val="7A826731"/>
    <w:rsid w:val="7AF30168"/>
    <w:rsid w:val="7B1633FD"/>
    <w:rsid w:val="7B5675BC"/>
    <w:rsid w:val="7C0619D3"/>
    <w:rsid w:val="7C35538A"/>
    <w:rsid w:val="7C40410F"/>
    <w:rsid w:val="7C7C41DC"/>
    <w:rsid w:val="7CCB2628"/>
    <w:rsid w:val="7D2C7B9C"/>
    <w:rsid w:val="7D4B6CF2"/>
    <w:rsid w:val="7DC86131"/>
    <w:rsid w:val="7DC90FFE"/>
    <w:rsid w:val="7DCD64E1"/>
    <w:rsid w:val="7DEA337D"/>
    <w:rsid w:val="7E834979"/>
    <w:rsid w:val="7ED73662"/>
    <w:rsid w:val="7EDB6AD5"/>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qFormat/>
    <w:uiPriority w:val="0"/>
    <w:rPr>
      <w:rFonts w:hint="default" w:ascii="Arial" w:hAnsi="Arial" w:cs="Arial"/>
      <w:color w:val="000000"/>
      <w:sz w:val="20"/>
      <w:szCs w:val="20"/>
      <w:u w:val="none"/>
    </w:rPr>
  </w:style>
  <w:style w:type="character" w:customStyle="1" w:styleId="122">
    <w:name w:val="font61"/>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 w:type="paragraph" w:styleId="1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1</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2022-08-24T05:52:17Z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0C6E799315C04CE5B5C3AC639043AC6F</vt:lpwstr>
  </property>
</Properties>
</file>